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5F41" w14:textId="77777777" w:rsidR="00BB5584" w:rsidRDefault="00506586">
      <w:pPr>
        <w:pStyle w:val="Heading2"/>
        <w:rPr>
          <w:rFonts w:ascii="Calibri" w:hAnsi="Calibri"/>
          <w:i w:val="0"/>
        </w:rPr>
      </w:pPr>
      <w:r>
        <w:rPr>
          <w:rFonts w:ascii="Calibri" w:hAnsi="Calibri"/>
          <w:i w:val="0"/>
        </w:rPr>
        <w:t>CR-05 - Goals and Outcomes</w:t>
      </w:r>
    </w:p>
    <w:p w14:paraId="3B3338E0" w14:textId="77777777" w:rsidR="00BB5584" w:rsidRDefault="00506586">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3719B162" w14:textId="77777777" w:rsidR="00BB5584" w:rsidRDefault="00506586">
      <w:pPr>
        <w:keepNext/>
        <w:widowControl w:val="0"/>
        <w:spacing w:after="0" w:line="240" w:lineRule="auto"/>
      </w:pPr>
      <w:r>
        <w:t xml:space="preserve">This could be an overview that includes major initiatives and highlights that were proposed and executed throughout the </w:t>
      </w:r>
      <w:r>
        <w:t>program year.</w:t>
      </w:r>
    </w:p>
    <w:p w14:paraId="6FB6C56E" w14:textId="77777777" w:rsidR="00BB5584" w:rsidRDefault="00BB5584">
      <w:pPr>
        <w:keepNext/>
        <w:widowControl w:val="0"/>
        <w:spacing w:after="0" w:line="240" w:lineRule="auto"/>
        <w:rPr>
          <w:b/>
        </w:rPr>
      </w:pPr>
    </w:p>
    <w:p w14:paraId="51C0FC14" w14:textId="77777777" w:rsidR="00BB5584" w:rsidRDefault="00BB5584">
      <w:pPr>
        <w:widowControl w:val="0"/>
        <w:spacing w:line="204" w:lineRule="auto"/>
        <w:rPr>
          <w:szCs w:val="24"/>
        </w:rPr>
      </w:pPr>
    </w:p>
    <w:p w14:paraId="7393737D" w14:textId="77777777" w:rsidR="00BB5584" w:rsidRDefault="00506586">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14:paraId="7AC275A6" w14:textId="77777777" w:rsidR="00BB5584" w:rsidRDefault="00506586">
      <w:pPr>
        <w:keepNext/>
        <w:widowControl w:val="0"/>
        <w:spacing w:after="0" w:line="240" w:lineRule="auto"/>
        <w:rPr>
          <w:szCs w:val="24"/>
        </w:rPr>
      </w:pPr>
      <w:r>
        <w:t>Categories, priority level</w:t>
      </w:r>
      <w:r>
        <w:t>s, funding sources and amounts, outcomes/objectives, goal outcome indicators, units of measure, targets, actual outcomes/outputs, and percentage completed for each of the grantee’s program year goals.</w:t>
      </w:r>
    </w:p>
    <w:p w14:paraId="1128493C" w14:textId="77777777" w:rsidR="00BB5584" w:rsidRDefault="00BB5584">
      <w:pPr>
        <w:widowControl w:val="0"/>
        <w:rPr>
          <w:b/>
          <w:sz w:val="24"/>
          <w:szCs w:val="24"/>
        </w:rPr>
      </w:pPr>
    </w:p>
    <w:tbl>
      <w:tblPr>
        <w:tblStyle w:val="TableGrid"/>
        <w:tblW w:w="13728" w:type="dxa"/>
        <w:tblInd w:w="0" w:type="dxa"/>
        <w:tblLook w:val="04A0" w:firstRow="1" w:lastRow="0" w:firstColumn="1" w:lastColumn="0" w:noHBand="0" w:noVBand="1"/>
      </w:tblPr>
      <w:tblGrid>
        <w:gridCol w:w="1499"/>
        <w:gridCol w:w="1589"/>
        <w:gridCol w:w="911"/>
        <w:gridCol w:w="2545"/>
        <w:gridCol w:w="1285"/>
        <w:gridCol w:w="980"/>
        <w:gridCol w:w="954"/>
        <w:gridCol w:w="1025"/>
        <w:gridCol w:w="980"/>
        <w:gridCol w:w="935"/>
        <w:gridCol w:w="1025"/>
      </w:tblGrid>
      <w:tr w:rsidR="00BB5584" w14:paraId="78A56A51" w14:textId="77777777">
        <w:tc>
          <w:tcPr>
            <w:tcW w:w="1248" w:type="dxa"/>
          </w:tcPr>
          <w:p w14:paraId="518E33E0" w14:textId="77777777" w:rsidR="00BB5584" w:rsidRDefault="00506586">
            <w:pPr>
              <w:keepNext/>
              <w:widowControl w:val="0"/>
              <w:spacing w:after="0" w:line="240" w:lineRule="auto"/>
              <w:rPr>
                <w:b/>
              </w:rPr>
            </w:pPr>
            <w:r>
              <w:rPr>
                <w:b/>
              </w:rPr>
              <w:t>Goal</w:t>
            </w:r>
          </w:p>
        </w:tc>
        <w:tc>
          <w:tcPr>
            <w:tcW w:w="1248" w:type="dxa"/>
          </w:tcPr>
          <w:p w14:paraId="5768F13D" w14:textId="77777777" w:rsidR="00BB5584" w:rsidRDefault="00506586">
            <w:pPr>
              <w:keepNext/>
              <w:widowControl w:val="0"/>
              <w:spacing w:after="0" w:line="240" w:lineRule="auto"/>
              <w:rPr>
                <w:b/>
              </w:rPr>
            </w:pPr>
            <w:r>
              <w:rPr>
                <w:b/>
              </w:rPr>
              <w:t>Category</w:t>
            </w:r>
          </w:p>
        </w:tc>
        <w:tc>
          <w:tcPr>
            <w:tcW w:w="1248" w:type="dxa"/>
          </w:tcPr>
          <w:p w14:paraId="6FFB9B55" w14:textId="77777777" w:rsidR="00BB5584" w:rsidRDefault="00506586">
            <w:pPr>
              <w:keepNext/>
              <w:widowControl w:val="0"/>
              <w:spacing w:after="0" w:line="240" w:lineRule="auto"/>
              <w:rPr>
                <w:b/>
              </w:rPr>
            </w:pPr>
            <w:r>
              <w:rPr>
                <w:b/>
              </w:rPr>
              <w:t>Source / Amount</w:t>
            </w:r>
          </w:p>
        </w:tc>
        <w:tc>
          <w:tcPr>
            <w:tcW w:w="1248" w:type="dxa"/>
          </w:tcPr>
          <w:p w14:paraId="2282F47B" w14:textId="77777777" w:rsidR="00BB5584" w:rsidRDefault="00506586">
            <w:pPr>
              <w:keepNext/>
              <w:widowControl w:val="0"/>
              <w:spacing w:after="0" w:line="240" w:lineRule="auto"/>
              <w:rPr>
                <w:b/>
              </w:rPr>
            </w:pPr>
            <w:r>
              <w:rPr>
                <w:b/>
              </w:rPr>
              <w:t>Indicator</w:t>
            </w:r>
          </w:p>
        </w:tc>
        <w:tc>
          <w:tcPr>
            <w:tcW w:w="1248" w:type="dxa"/>
          </w:tcPr>
          <w:p w14:paraId="14E9DC0B" w14:textId="77777777" w:rsidR="00BB5584" w:rsidRDefault="00506586">
            <w:pPr>
              <w:keepNext/>
              <w:widowControl w:val="0"/>
              <w:spacing w:after="0" w:line="240" w:lineRule="auto"/>
              <w:rPr>
                <w:b/>
              </w:rPr>
            </w:pPr>
            <w:r>
              <w:rPr>
                <w:b/>
              </w:rPr>
              <w:t>Unit of Measur</w:t>
            </w:r>
            <w:r>
              <w:rPr>
                <w:b/>
              </w:rPr>
              <w:t>e</w:t>
            </w:r>
          </w:p>
        </w:tc>
        <w:tc>
          <w:tcPr>
            <w:tcW w:w="1248" w:type="dxa"/>
          </w:tcPr>
          <w:p w14:paraId="6AAB3ECD" w14:textId="77777777" w:rsidR="00BB5584" w:rsidRDefault="00506586">
            <w:pPr>
              <w:keepNext/>
              <w:widowControl w:val="0"/>
              <w:spacing w:after="0" w:line="240" w:lineRule="auto"/>
              <w:rPr>
                <w:b/>
              </w:rPr>
            </w:pPr>
            <w:r>
              <w:rPr>
                <w:b/>
              </w:rPr>
              <w:t>Expected – Strategic Plan</w:t>
            </w:r>
          </w:p>
        </w:tc>
        <w:tc>
          <w:tcPr>
            <w:tcW w:w="1248" w:type="dxa"/>
          </w:tcPr>
          <w:p w14:paraId="46953024" w14:textId="77777777" w:rsidR="00BB5584" w:rsidRDefault="00506586">
            <w:pPr>
              <w:keepNext/>
              <w:widowControl w:val="0"/>
              <w:spacing w:after="0" w:line="240" w:lineRule="auto"/>
              <w:rPr>
                <w:b/>
              </w:rPr>
            </w:pPr>
            <w:r>
              <w:rPr>
                <w:b/>
              </w:rPr>
              <w:t>Actual – Strategic Plan</w:t>
            </w:r>
          </w:p>
        </w:tc>
        <w:tc>
          <w:tcPr>
            <w:tcW w:w="1248" w:type="dxa"/>
          </w:tcPr>
          <w:p w14:paraId="64649D9B" w14:textId="77777777" w:rsidR="00BB5584" w:rsidRDefault="00506586">
            <w:pPr>
              <w:keepNext/>
              <w:widowControl w:val="0"/>
              <w:spacing w:after="0" w:line="240" w:lineRule="auto"/>
              <w:rPr>
                <w:b/>
              </w:rPr>
            </w:pPr>
            <w:r>
              <w:rPr>
                <w:b/>
              </w:rPr>
              <w:t>Percent Complete</w:t>
            </w:r>
          </w:p>
        </w:tc>
        <w:tc>
          <w:tcPr>
            <w:tcW w:w="1248" w:type="dxa"/>
          </w:tcPr>
          <w:p w14:paraId="02FF3CEC" w14:textId="77777777" w:rsidR="00BB5584" w:rsidRDefault="00506586">
            <w:pPr>
              <w:keepNext/>
              <w:widowControl w:val="0"/>
              <w:spacing w:after="0" w:line="240" w:lineRule="auto"/>
              <w:rPr>
                <w:b/>
              </w:rPr>
            </w:pPr>
            <w:r>
              <w:rPr>
                <w:b/>
              </w:rPr>
              <w:t>Expected – Program Year</w:t>
            </w:r>
          </w:p>
        </w:tc>
        <w:tc>
          <w:tcPr>
            <w:tcW w:w="1248" w:type="dxa"/>
          </w:tcPr>
          <w:p w14:paraId="14D0D5A5" w14:textId="77777777" w:rsidR="00BB5584" w:rsidRDefault="00506586">
            <w:pPr>
              <w:keepNext/>
              <w:widowControl w:val="0"/>
              <w:spacing w:after="0" w:line="240" w:lineRule="auto"/>
              <w:rPr>
                <w:b/>
              </w:rPr>
            </w:pPr>
            <w:r>
              <w:rPr>
                <w:b/>
              </w:rPr>
              <w:t>Actual – Program Year</w:t>
            </w:r>
          </w:p>
        </w:tc>
        <w:tc>
          <w:tcPr>
            <w:tcW w:w="1248" w:type="dxa"/>
          </w:tcPr>
          <w:p w14:paraId="2AA0DF5B" w14:textId="77777777" w:rsidR="00BB5584" w:rsidRDefault="00506586">
            <w:pPr>
              <w:keepNext/>
              <w:widowControl w:val="0"/>
              <w:spacing w:after="0" w:line="240" w:lineRule="auto"/>
              <w:rPr>
                <w:b/>
              </w:rPr>
            </w:pPr>
            <w:r>
              <w:rPr>
                <w:b/>
              </w:rPr>
              <w:t>Percent Complete</w:t>
            </w:r>
          </w:p>
        </w:tc>
      </w:tr>
      <w:tr w:rsidR="00BB5584" w14:paraId="27EE526C" w14:textId="77777777">
        <w:trPr>
          <w:cantSplit/>
        </w:trPr>
        <w:tc>
          <w:tcPr>
            <w:tcW w:w="0" w:type="auto"/>
            <w:vAlign w:val="center"/>
          </w:tcPr>
          <w:p w14:paraId="7CEC9178" w14:textId="77777777" w:rsidR="00BB5584" w:rsidRDefault="00506586">
            <w:pPr>
              <w:spacing w:beforeAutospacing="1" w:afterAutospacing="1"/>
            </w:pPr>
            <w:r>
              <w:rPr>
                <w:color w:val="000000"/>
                <w:sz w:val="22"/>
              </w:rPr>
              <w:t>Admin</w:t>
            </w:r>
          </w:p>
        </w:tc>
        <w:tc>
          <w:tcPr>
            <w:tcW w:w="0" w:type="auto"/>
            <w:vAlign w:val="center"/>
          </w:tcPr>
          <w:p w14:paraId="1A95A61A" w14:textId="77777777" w:rsidR="00BB5584" w:rsidRDefault="00506586">
            <w:pPr>
              <w:spacing w:beforeAutospacing="1" w:afterAutospacing="1"/>
            </w:pPr>
            <w:r>
              <w:rPr>
                <w:color w:val="000000"/>
                <w:sz w:val="22"/>
              </w:rPr>
              <w:t>Administration of all Categories</w:t>
            </w:r>
          </w:p>
        </w:tc>
        <w:tc>
          <w:tcPr>
            <w:tcW w:w="0" w:type="auto"/>
            <w:vAlign w:val="center"/>
          </w:tcPr>
          <w:p w14:paraId="7A11F082" w14:textId="77777777" w:rsidR="00BB5584" w:rsidRDefault="00506586">
            <w:pPr>
              <w:spacing w:beforeAutospacing="1" w:afterAutospacing="1"/>
            </w:pPr>
            <w:r>
              <w:rPr>
                <w:color w:val="000000"/>
                <w:sz w:val="22"/>
              </w:rPr>
              <w:t>CDBG: $ / HOME: $</w:t>
            </w:r>
          </w:p>
        </w:tc>
        <w:tc>
          <w:tcPr>
            <w:tcW w:w="0" w:type="auto"/>
            <w:vAlign w:val="center"/>
          </w:tcPr>
          <w:p w14:paraId="1D44ACDB" w14:textId="77777777" w:rsidR="00BB5584" w:rsidRDefault="00506586">
            <w:pPr>
              <w:spacing w:beforeAutospacing="1" w:afterAutospacing="1"/>
            </w:pPr>
            <w:r>
              <w:rPr>
                <w:color w:val="000000"/>
                <w:sz w:val="22"/>
              </w:rPr>
              <w:t>Other</w:t>
            </w:r>
          </w:p>
        </w:tc>
        <w:tc>
          <w:tcPr>
            <w:tcW w:w="0" w:type="auto"/>
            <w:vAlign w:val="center"/>
          </w:tcPr>
          <w:p w14:paraId="6EA80A53" w14:textId="77777777" w:rsidR="00BB5584" w:rsidRDefault="00506586">
            <w:pPr>
              <w:spacing w:beforeAutospacing="1" w:afterAutospacing="1"/>
            </w:pPr>
            <w:r>
              <w:rPr>
                <w:color w:val="000000"/>
                <w:sz w:val="22"/>
              </w:rPr>
              <w:t>Other</w:t>
            </w:r>
          </w:p>
        </w:tc>
        <w:tc>
          <w:tcPr>
            <w:tcW w:w="0" w:type="auto"/>
            <w:vAlign w:val="center"/>
          </w:tcPr>
          <w:p w14:paraId="3FA0F7E8" w14:textId="77777777" w:rsidR="00BB5584" w:rsidRDefault="00506586">
            <w:pPr>
              <w:spacing w:beforeAutospacing="1" w:afterAutospacing="1"/>
            </w:pPr>
            <w:r>
              <w:rPr>
                <w:color w:val="000000"/>
                <w:sz w:val="22"/>
              </w:rPr>
              <w:t>3</w:t>
            </w:r>
          </w:p>
        </w:tc>
        <w:tc>
          <w:tcPr>
            <w:tcW w:w="0" w:type="auto"/>
            <w:vAlign w:val="center"/>
          </w:tcPr>
          <w:p w14:paraId="1D534C89" w14:textId="77777777" w:rsidR="00BB5584" w:rsidRDefault="00506586">
            <w:pPr>
              <w:spacing w:beforeAutospacing="1" w:afterAutospacing="1"/>
            </w:pPr>
            <w:r>
              <w:rPr>
                <w:color w:val="000000"/>
                <w:sz w:val="22"/>
              </w:rPr>
              <w:t>0</w:t>
            </w:r>
          </w:p>
        </w:tc>
        <w:tc>
          <w:tcPr>
            <w:tcW w:w="0" w:type="auto"/>
            <w:vAlign w:val="center"/>
          </w:tcPr>
          <w:p w14:paraId="1FABE1AA" w14:textId="77777777" w:rsidR="00BB5584" w:rsidRDefault="00506586">
            <w:pPr>
              <w:spacing w:beforeAutospacing="1" w:afterAutospacing="1"/>
            </w:pPr>
            <w:r>
              <w:rPr>
                <w:color w:val="000000"/>
                <w:sz w:val="22"/>
              </w:rPr>
              <w:t xml:space="preserve">         0.00%</w:t>
            </w:r>
          </w:p>
        </w:tc>
        <w:tc>
          <w:tcPr>
            <w:tcW w:w="0" w:type="auto"/>
            <w:vAlign w:val="center"/>
          </w:tcPr>
          <w:p w14:paraId="1FFCEB96" w14:textId="77777777" w:rsidR="00BB5584" w:rsidRDefault="00506586">
            <w:pPr>
              <w:spacing w:beforeAutospacing="1" w:afterAutospacing="1"/>
            </w:pPr>
            <w:r>
              <w:rPr>
                <w:color w:val="000000"/>
                <w:sz w:val="22"/>
              </w:rPr>
              <w:t xml:space="preserve"> </w:t>
            </w:r>
          </w:p>
        </w:tc>
        <w:tc>
          <w:tcPr>
            <w:tcW w:w="0" w:type="auto"/>
            <w:vAlign w:val="center"/>
          </w:tcPr>
          <w:p w14:paraId="44E68F24" w14:textId="77777777" w:rsidR="00BB5584" w:rsidRDefault="00506586">
            <w:pPr>
              <w:spacing w:beforeAutospacing="1" w:afterAutospacing="1"/>
            </w:pPr>
            <w:r>
              <w:rPr>
                <w:color w:val="000000"/>
                <w:sz w:val="22"/>
              </w:rPr>
              <w:t xml:space="preserve"> </w:t>
            </w:r>
          </w:p>
        </w:tc>
        <w:tc>
          <w:tcPr>
            <w:tcW w:w="0" w:type="auto"/>
            <w:vAlign w:val="center"/>
          </w:tcPr>
          <w:p w14:paraId="5C0E3404" w14:textId="77777777" w:rsidR="00BB5584" w:rsidRDefault="00506586">
            <w:pPr>
              <w:spacing w:beforeAutospacing="1" w:afterAutospacing="1"/>
            </w:pPr>
            <w:r>
              <w:rPr>
                <w:color w:val="000000"/>
                <w:sz w:val="22"/>
              </w:rPr>
              <w:t xml:space="preserve"> </w:t>
            </w:r>
          </w:p>
        </w:tc>
      </w:tr>
      <w:tr w:rsidR="00BB5584" w14:paraId="6C8C3AC5" w14:textId="77777777">
        <w:trPr>
          <w:cantSplit/>
        </w:trPr>
        <w:tc>
          <w:tcPr>
            <w:tcW w:w="0" w:type="auto"/>
            <w:vAlign w:val="center"/>
          </w:tcPr>
          <w:p w14:paraId="7CDCD252" w14:textId="77777777" w:rsidR="00BB5584" w:rsidRDefault="00506586">
            <w:pPr>
              <w:spacing w:beforeAutospacing="1" w:afterAutospacing="1"/>
            </w:pPr>
            <w:r>
              <w:rPr>
                <w:color w:val="000000"/>
                <w:sz w:val="22"/>
              </w:rPr>
              <w:t>Homebuyers</w:t>
            </w:r>
          </w:p>
        </w:tc>
        <w:tc>
          <w:tcPr>
            <w:tcW w:w="0" w:type="auto"/>
            <w:vAlign w:val="center"/>
          </w:tcPr>
          <w:p w14:paraId="3E7D92DE" w14:textId="77777777" w:rsidR="00BB5584" w:rsidRDefault="00506586">
            <w:pPr>
              <w:spacing w:beforeAutospacing="1" w:afterAutospacing="1"/>
            </w:pPr>
            <w:r>
              <w:rPr>
                <w:color w:val="000000"/>
                <w:sz w:val="22"/>
              </w:rPr>
              <w:t>Affordable Housing</w:t>
            </w:r>
          </w:p>
        </w:tc>
        <w:tc>
          <w:tcPr>
            <w:tcW w:w="0" w:type="auto"/>
            <w:vAlign w:val="center"/>
          </w:tcPr>
          <w:p w14:paraId="72782AE2" w14:textId="77777777" w:rsidR="00BB5584" w:rsidRDefault="00506586">
            <w:pPr>
              <w:spacing w:beforeAutospacing="1" w:afterAutospacing="1"/>
            </w:pPr>
            <w:r>
              <w:rPr>
                <w:color w:val="000000"/>
                <w:sz w:val="22"/>
              </w:rPr>
              <w:t>CDBG: $</w:t>
            </w:r>
          </w:p>
        </w:tc>
        <w:tc>
          <w:tcPr>
            <w:tcW w:w="0" w:type="auto"/>
            <w:vAlign w:val="center"/>
          </w:tcPr>
          <w:p w14:paraId="071210F3" w14:textId="77777777" w:rsidR="00BB5584" w:rsidRDefault="00506586">
            <w:pPr>
              <w:spacing w:beforeAutospacing="1" w:afterAutospacing="1"/>
            </w:pPr>
            <w:r>
              <w:rPr>
                <w:color w:val="000000"/>
                <w:sz w:val="22"/>
              </w:rPr>
              <w:t>Direct Financial Assistance to Homebuyers</w:t>
            </w:r>
          </w:p>
        </w:tc>
        <w:tc>
          <w:tcPr>
            <w:tcW w:w="0" w:type="auto"/>
            <w:vAlign w:val="center"/>
          </w:tcPr>
          <w:p w14:paraId="5B20DCAB" w14:textId="77777777" w:rsidR="00BB5584" w:rsidRDefault="00506586">
            <w:pPr>
              <w:spacing w:beforeAutospacing="1" w:afterAutospacing="1"/>
            </w:pPr>
            <w:r>
              <w:rPr>
                <w:color w:val="000000"/>
                <w:sz w:val="22"/>
              </w:rPr>
              <w:t>Households Assisted</w:t>
            </w:r>
          </w:p>
        </w:tc>
        <w:tc>
          <w:tcPr>
            <w:tcW w:w="0" w:type="auto"/>
            <w:vAlign w:val="center"/>
          </w:tcPr>
          <w:p w14:paraId="16BE7446" w14:textId="77777777" w:rsidR="00BB5584" w:rsidRDefault="00506586">
            <w:pPr>
              <w:spacing w:beforeAutospacing="1" w:afterAutospacing="1"/>
            </w:pPr>
            <w:r>
              <w:rPr>
                <w:color w:val="000000"/>
                <w:sz w:val="22"/>
              </w:rPr>
              <w:t>25</w:t>
            </w:r>
          </w:p>
        </w:tc>
        <w:tc>
          <w:tcPr>
            <w:tcW w:w="0" w:type="auto"/>
            <w:vAlign w:val="center"/>
          </w:tcPr>
          <w:p w14:paraId="237F6757" w14:textId="77777777" w:rsidR="00BB5584" w:rsidRDefault="00506586">
            <w:pPr>
              <w:spacing w:beforeAutospacing="1" w:afterAutospacing="1"/>
            </w:pPr>
            <w:r>
              <w:rPr>
                <w:color w:val="000000"/>
                <w:sz w:val="22"/>
              </w:rPr>
              <w:t>0</w:t>
            </w:r>
          </w:p>
        </w:tc>
        <w:tc>
          <w:tcPr>
            <w:tcW w:w="0" w:type="auto"/>
            <w:vAlign w:val="center"/>
          </w:tcPr>
          <w:p w14:paraId="69AC3A23" w14:textId="77777777" w:rsidR="00BB5584" w:rsidRDefault="00506586">
            <w:pPr>
              <w:spacing w:beforeAutospacing="1" w:afterAutospacing="1"/>
            </w:pPr>
            <w:r>
              <w:rPr>
                <w:color w:val="000000"/>
                <w:sz w:val="22"/>
              </w:rPr>
              <w:t xml:space="preserve">         0.00%</w:t>
            </w:r>
          </w:p>
        </w:tc>
        <w:tc>
          <w:tcPr>
            <w:tcW w:w="0" w:type="auto"/>
            <w:vAlign w:val="center"/>
          </w:tcPr>
          <w:p w14:paraId="0F3F4023" w14:textId="77777777" w:rsidR="00BB5584" w:rsidRDefault="00506586">
            <w:pPr>
              <w:spacing w:beforeAutospacing="1" w:afterAutospacing="1"/>
            </w:pPr>
            <w:r>
              <w:rPr>
                <w:color w:val="000000"/>
                <w:sz w:val="22"/>
              </w:rPr>
              <w:t>5</w:t>
            </w:r>
          </w:p>
        </w:tc>
        <w:tc>
          <w:tcPr>
            <w:tcW w:w="0" w:type="auto"/>
            <w:vAlign w:val="center"/>
          </w:tcPr>
          <w:p w14:paraId="088C3604" w14:textId="77777777" w:rsidR="00BB5584" w:rsidRDefault="00506586">
            <w:pPr>
              <w:spacing w:beforeAutospacing="1" w:afterAutospacing="1"/>
            </w:pPr>
            <w:r>
              <w:rPr>
                <w:color w:val="000000"/>
                <w:sz w:val="22"/>
              </w:rPr>
              <w:t>0</w:t>
            </w:r>
          </w:p>
        </w:tc>
        <w:tc>
          <w:tcPr>
            <w:tcW w:w="0" w:type="auto"/>
            <w:vAlign w:val="center"/>
          </w:tcPr>
          <w:p w14:paraId="0600ECE2" w14:textId="77777777" w:rsidR="00BB5584" w:rsidRDefault="00506586">
            <w:pPr>
              <w:spacing w:beforeAutospacing="1" w:afterAutospacing="1"/>
            </w:pPr>
            <w:r>
              <w:rPr>
                <w:color w:val="000000"/>
                <w:sz w:val="22"/>
              </w:rPr>
              <w:t xml:space="preserve">         0.00%</w:t>
            </w:r>
          </w:p>
        </w:tc>
      </w:tr>
      <w:tr w:rsidR="00BB5584" w14:paraId="7A628C1D" w14:textId="77777777">
        <w:trPr>
          <w:cantSplit/>
        </w:trPr>
        <w:tc>
          <w:tcPr>
            <w:tcW w:w="0" w:type="auto"/>
            <w:vAlign w:val="center"/>
          </w:tcPr>
          <w:p w14:paraId="5AB778E6" w14:textId="77777777" w:rsidR="00BB5584" w:rsidRDefault="00506586">
            <w:pPr>
              <w:spacing w:beforeAutospacing="1" w:afterAutospacing="1"/>
            </w:pPr>
            <w:r>
              <w:rPr>
                <w:color w:val="000000"/>
                <w:sz w:val="22"/>
              </w:rPr>
              <w:t>Housing Rehabilitation</w:t>
            </w:r>
          </w:p>
        </w:tc>
        <w:tc>
          <w:tcPr>
            <w:tcW w:w="0" w:type="auto"/>
            <w:vAlign w:val="center"/>
          </w:tcPr>
          <w:p w14:paraId="4BA5E798" w14:textId="77777777" w:rsidR="00BB5584" w:rsidRDefault="00506586">
            <w:pPr>
              <w:spacing w:beforeAutospacing="1" w:afterAutospacing="1"/>
            </w:pPr>
            <w:r>
              <w:rPr>
                <w:color w:val="000000"/>
                <w:sz w:val="22"/>
              </w:rPr>
              <w:t>Minor Repair</w:t>
            </w:r>
          </w:p>
        </w:tc>
        <w:tc>
          <w:tcPr>
            <w:tcW w:w="0" w:type="auto"/>
            <w:vAlign w:val="center"/>
          </w:tcPr>
          <w:p w14:paraId="36B29C78" w14:textId="77777777" w:rsidR="00BB5584" w:rsidRDefault="00506586">
            <w:pPr>
              <w:spacing w:beforeAutospacing="1" w:afterAutospacing="1"/>
            </w:pPr>
            <w:r>
              <w:rPr>
                <w:color w:val="000000"/>
                <w:sz w:val="22"/>
              </w:rPr>
              <w:t>CDBG: $</w:t>
            </w:r>
          </w:p>
        </w:tc>
        <w:tc>
          <w:tcPr>
            <w:tcW w:w="0" w:type="auto"/>
            <w:vAlign w:val="center"/>
          </w:tcPr>
          <w:p w14:paraId="7D2970CC" w14:textId="77777777" w:rsidR="00BB5584" w:rsidRDefault="00506586">
            <w:pPr>
              <w:spacing w:beforeAutospacing="1" w:afterAutospacing="1"/>
            </w:pPr>
            <w:r>
              <w:rPr>
                <w:color w:val="000000"/>
                <w:sz w:val="22"/>
              </w:rPr>
              <w:t>Homeowner Housing Rehabilitated</w:t>
            </w:r>
          </w:p>
        </w:tc>
        <w:tc>
          <w:tcPr>
            <w:tcW w:w="0" w:type="auto"/>
            <w:vAlign w:val="center"/>
          </w:tcPr>
          <w:p w14:paraId="39D92DB5" w14:textId="77777777" w:rsidR="00BB5584" w:rsidRDefault="00506586">
            <w:pPr>
              <w:spacing w:beforeAutospacing="1" w:afterAutospacing="1"/>
            </w:pPr>
            <w:r>
              <w:rPr>
                <w:color w:val="000000"/>
                <w:sz w:val="22"/>
              </w:rPr>
              <w:t>Household Housing Unit</w:t>
            </w:r>
          </w:p>
        </w:tc>
        <w:tc>
          <w:tcPr>
            <w:tcW w:w="0" w:type="auto"/>
            <w:vAlign w:val="center"/>
          </w:tcPr>
          <w:p w14:paraId="5BBB4C4C" w14:textId="77777777" w:rsidR="00BB5584" w:rsidRDefault="00506586">
            <w:pPr>
              <w:spacing w:beforeAutospacing="1" w:afterAutospacing="1"/>
            </w:pPr>
            <w:r>
              <w:rPr>
                <w:color w:val="000000"/>
                <w:sz w:val="22"/>
              </w:rPr>
              <w:t>80</w:t>
            </w:r>
          </w:p>
        </w:tc>
        <w:tc>
          <w:tcPr>
            <w:tcW w:w="0" w:type="auto"/>
            <w:vAlign w:val="center"/>
          </w:tcPr>
          <w:p w14:paraId="3B6AEDC1" w14:textId="77777777" w:rsidR="00BB5584" w:rsidRDefault="00506586">
            <w:pPr>
              <w:spacing w:beforeAutospacing="1" w:afterAutospacing="1"/>
            </w:pPr>
            <w:r>
              <w:rPr>
                <w:color w:val="000000"/>
                <w:sz w:val="22"/>
              </w:rPr>
              <w:t>5</w:t>
            </w:r>
          </w:p>
        </w:tc>
        <w:tc>
          <w:tcPr>
            <w:tcW w:w="0" w:type="auto"/>
            <w:vAlign w:val="center"/>
          </w:tcPr>
          <w:p w14:paraId="102FDF68" w14:textId="77777777" w:rsidR="00BB5584" w:rsidRDefault="00506586">
            <w:pPr>
              <w:spacing w:beforeAutospacing="1" w:afterAutospacing="1"/>
            </w:pPr>
            <w:r>
              <w:rPr>
                <w:color w:val="000000"/>
                <w:sz w:val="22"/>
              </w:rPr>
              <w:t xml:space="preserve">         6.25%</w:t>
            </w:r>
          </w:p>
        </w:tc>
        <w:tc>
          <w:tcPr>
            <w:tcW w:w="0" w:type="auto"/>
            <w:vAlign w:val="center"/>
          </w:tcPr>
          <w:p w14:paraId="179A478A" w14:textId="77777777" w:rsidR="00BB5584" w:rsidRDefault="00506586">
            <w:pPr>
              <w:spacing w:beforeAutospacing="1" w:afterAutospacing="1"/>
            </w:pPr>
            <w:r>
              <w:rPr>
                <w:color w:val="000000"/>
                <w:sz w:val="22"/>
              </w:rPr>
              <w:t>15</w:t>
            </w:r>
          </w:p>
        </w:tc>
        <w:tc>
          <w:tcPr>
            <w:tcW w:w="0" w:type="auto"/>
            <w:vAlign w:val="center"/>
          </w:tcPr>
          <w:p w14:paraId="14B739CD" w14:textId="77777777" w:rsidR="00BB5584" w:rsidRDefault="00506586">
            <w:pPr>
              <w:spacing w:beforeAutospacing="1" w:afterAutospacing="1"/>
            </w:pPr>
            <w:r>
              <w:rPr>
                <w:color w:val="000000"/>
                <w:sz w:val="22"/>
              </w:rPr>
              <w:t>5</w:t>
            </w:r>
          </w:p>
        </w:tc>
        <w:tc>
          <w:tcPr>
            <w:tcW w:w="0" w:type="auto"/>
            <w:vAlign w:val="center"/>
          </w:tcPr>
          <w:p w14:paraId="54311795" w14:textId="77777777" w:rsidR="00BB5584" w:rsidRDefault="00506586">
            <w:pPr>
              <w:spacing w:beforeAutospacing="1" w:afterAutospacing="1"/>
            </w:pPr>
            <w:r>
              <w:rPr>
                <w:color w:val="000000"/>
                <w:sz w:val="22"/>
              </w:rPr>
              <w:t xml:space="preserve">        33.33%</w:t>
            </w:r>
          </w:p>
        </w:tc>
      </w:tr>
      <w:tr w:rsidR="00BB5584" w14:paraId="6A2632B5" w14:textId="77777777">
        <w:trPr>
          <w:cantSplit/>
        </w:trPr>
        <w:tc>
          <w:tcPr>
            <w:tcW w:w="0" w:type="auto"/>
            <w:vAlign w:val="center"/>
          </w:tcPr>
          <w:p w14:paraId="31A61E56" w14:textId="77777777" w:rsidR="00BB5584" w:rsidRDefault="00506586">
            <w:pPr>
              <w:spacing w:beforeAutospacing="1" w:afterAutospacing="1"/>
            </w:pPr>
            <w:r>
              <w:rPr>
                <w:color w:val="000000"/>
                <w:sz w:val="22"/>
              </w:rPr>
              <w:t>New Construction</w:t>
            </w:r>
          </w:p>
        </w:tc>
        <w:tc>
          <w:tcPr>
            <w:tcW w:w="0" w:type="auto"/>
            <w:vAlign w:val="center"/>
          </w:tcPr>
          <w:p w14:paraId="4CE68F00" w14:textId="77777777" w:rsidR="00BB5584" w:rsidRDefault="00506586">
            <w:pPr>
              <w:spacing w:beforeAutospacing="1" w:afterAutospacing="1"/>
            </w:pPr>
            <w:r>
              <w:rPr>
                <w:color w:val="000000"/>
                <w:sz w:val="22"/>
              </w:rPr>
              <w:t>Affordable Housing</w:t>
            </w:r>
            <w:r>
              <w:rPr>
                <w:color w:val="000000"/>
                <w:sz w:val="22"/>
              </w:rPr>
              <w:br/>
              <w:t>New Construction</w:t>
            </w:r>
          </w:p>
        </w:tc>
        <w:tc>
          <w:tcPr>
            <w:tcW w:w="0" w:type="auto"/>
            <w:vAlign w:val="center"/>
          </w:tcPr>
          <w:p w14:paraId="4408D0F6" w14:textId="77777777" w:rsidR="00BB5584" w:rsidRDefault="00506586">
            <w:pPr>
              <w:spacing w:beforeAutospacing="1" w:afterAutospacing="1"/>
            </w:pPr>
            <w:r>
              <w:rPr>
                <w:color w:val="000000"/>
                <w:sz w:val="22"/>
              </w:rPr>
              <w:t>HOME: $</w:t>
            </w:r>
          </w:p>
        </w:tc>
        <w:tc>
          <w:tcPr>
            <w:tcW w:w="0" w:type="auto"/>
            <w:vAlign w:val="center"/>
          </w:tcPr>
          <w:p w14:paraId="21453EAB" w14:textId="77777777" w:rsidR="00BB5584" w:rsidRDefault="00506586">
            <w:pPr>
              <w:spacing w:beforeAutospacing="1" w:afterAutospacing="1"/>
            </w:pPr>
            <w:r>
              <w:rPr>
                <w:color w:val="000000"/>
                <w:sz w:val="22"/>
              </w:rPr>
              <w:t>Homeowner Housing Added</w:t>
            </w:r>
          </w:p>
        </w:tc>
        <w:tc>
          <w:tcPr>
            <w:tcW w:w="0" w:type="auto"/>
            <w:vAlign w:val="center"/>
          </w:tcPr>
          <w:p w14:paraId="7881DCAA" w14:textId="77777777" w:rsidR="00BB5584" w:rsidRDefault="00506586">
            <w:pPr>
              <w:spacing w:beforeAutospacing="1" w:afterAutospacing="1"/>
            </w:pPr>
            <w:r>
              <w:rPr>
                <w:color w:val="000000"/>
                <w:sz w:val="22"/>
              </w:rPr>
              <w:t>Household Housing Unit</w:t>
            </w:r>
          </w:p>
        </w:tc>
        <w:tc>
          <w:tcPr>
            <w:tcW w:w="0" w:type="auto"/>
            <w:vAlign w:val="center"/>
          </w:tcPr>
          <w:p w14:paraId="28FB6EF4" w14:textId="77777777" w:rsidR="00BB5584" w:rsidRDefault="00506586">
            <w:pPr>
              <w:spacing w:beforeAutospacing="1" w:afterAutospacing="1"/>
            </w:pPr>
            <w:r>
              <w:rPr>
                <w:color w:val="000000"/>
                <w:sz w:val="22"/>
              </w:rPr>
              <w:t>15</w:t>
            </w:r>
          </w:p>
        </w:tc>
        <w:tc>
          <w:tcPr>
            <w:tcW w:w="0" w:type="auto"/>
            <w:vAlign w:val="center"/>
          </w:tcPr>
          <w:p w14:paraId="50DC5098" w14:textId="77777777" w:rsidR="00BB5584" w:rsidRDefault="00506586">
            <w:pPr>
              <w:spacing w:beforeAutospacing="1" w:afterAutospacing="1"/>
            </w:pPr>
            <w:r>
              <w:rPr>
                <w:color w:val="000000"/>
                <w:sz w:val="22"/>
              </w:rPr>
              <w:t>0</w:t>
            </w:r>
          </w:p>
        </w:tc>
        <w:tc>
          <w:tcPr>
            <w:tcW w:w="0" w:type="auto"/>
            <w:vAlign w:val="center"/>
          </w:tcPr>
          <w:p w14:paraId="2F0CBBC6" w14:textId="77777777" w:rsidR="00BB5584" w:rsidRDefault="00506586">
            <w:pPr>
              <w:spacing w:beforeAutospacing="1" w:afterAutospacing="1"/>
            </w:pPr>
            <w:r>
              <w:rPr>
                <w:color w:val="000000"/>
                <w:sz w:val="22"/>
              </w:rPr>
              <w:t xml:space="preserve">         0.00%</w:t>
            </w:r>
          </w:p>
        </w:tc>
        <w:tc>
          <w:tcPr>
            <w:tcW w:w="0" w:type="auto"/>
            <w:vAlign w:val="center"/>
          </w:tcPr>
          <w:p w14:paraId="168C6BA1" w14:textId="77777777" w:rsidR="00BB5584" w:rsidRDefault="00506586">
            <w:pPr>
              <w:spacing w:beforeAutospacing="1" w:afterAutospacing="1"/>
            </w:pPr>
            <w:r>
              <w:rPr>
                <w:color w:val="000000"/>
                <w:sz w:val="22"/>
              </w:rPr>
              <w:t>6</w:t>
            </w:r>
          </w:p>
        </w:tc>
        <w:tc>
          <w:tcPr>
            <w:tcW w:w="0" w:type="auto"/>
            <w:vAlign w:val="center"/>
          </w:tcPr>
          <w:p w14:paraId="2409CB05" w14:textId="77777777" w:rsidR="00BB5584" w:rsidRDefault="00506586">
            <w:pPr>
              <w:spacing w:beforeAutospacing="1" w:afterAutospacing="1"/>
            </w:pPr>
            <w:r>
              <w:rPr>
                <w:color w:val="000000"/>
                <w:sz w:val="22"/>
              </w:rPr>
              <w:t>0</w:t>
            </w:r>
          </w:p>
        </w:tc>
        <w:tc>
          <w:tcPr>
            <w:tcW w:w="0" w:type="auto"/>
            <w:vAlign w:val="center"/>
          </w:tcPr>
          <w:p w14:paraId="26BE35E4" w14:textId="77777777" w:rsidR="00BB5584" w:rsidRDefault="00506586">
            <w:pPr>
              <w:spacing w:beforeAutospacing="1" w:afterAutospacing="1"/>
            </w:pPr>
            <w:r>
              <w:rPr>
                <w:color w:val="000000"/>
                <w:sz w:val="22"/>
              </w:rPr>
              <w:t xml:space="preserve">         0.00%</w:t>
            </w:r>
          </w:p>
        </w:tc>
      </w:tr>
      <w:tr w:rsidR="00BB5584" w14:paraId="609F4881" w14:textId="77777777">
        <w:trPr>
          <w:cantSplit/>
        </w:trPr>
        <w:tc>
          <w:tcPr>
            <w:tcW w:w="0" w:type="auto"/>
            <w:vAlign w:val="center"/>
          </w:tcPr>
          <w:p w14:paraId="56744383" w14:textId="77777777" w:rsidR="00BB5584" w:rsidRDefault="00506586">
            <w:pPr>
              <w:spacing w:beforeAutospacing="1" w:afterAutospacing="1"/>
            </w:pPr>
            <w:r>
              <w:rPr>
                <w:color w:val="000000"/>
                <w:sz w:val="22"/>
              </w:rPr>
              <w:lastRenderedPageBreak/>
              <w:t>Public Facilities</w:t>
            </w:r>
          </w:p>
        </w:tc>
        <w:tc>
          <w:tcPr>
            <w:tcW w:w="0" w:type="auto"/>
            <w:vAlign w:val="center"/>
          </w:tcPr>
          <w:p w14:paraId="454ED8CC" w14:textId="77777777" w:rsidR="00BB5584" w:rsidRDefault="00506586">
            <w:pPr>
              <w:spacing w:beforeAutospacing="1" w:afterAutospacing="1"/>
            </w:pPr>
            <w:r>
              <w:rPr>
                <w:color w:val="000000"/>
                <w:sz w:val="22"/>
              </w:rPr>
              <w:t>Homeless</w:t>
            </w:r>
            <w:r>
              <w:rPr>
                <w:color w:val="000000"/>
                <w:sz w:val="22"/>
              </w:rPr>
              <w:br/>
            </w:r>
            <w:r>
              <w:rPr>
                <w:color w:val="000000"/>
                <w:sz w:val="22"/>
              </w:rPr>
              <w:t>Non-Housing Community Development</w:t>
            </w:r>
          </w:p>
        </w:tc>
        <w:tc>
          <w:tcPr>
            <w:tcW w:w="0" w:type="auto"/>
            <w:vAlign w:val="center"/>
          </w:tcPr>
          <w:p w14:paraId="7CDFECA3" w14:textId="77777777" w:rsidR="00BB5584" w:rsidRDefault="00506586">
            <w:pPr>
              <w:spacing w:beforeAutospacing="1" w:afterAutospacing="1"/>
            </w:pPr>
            <w:r>
              <w:rPr>
                <w:color w:val="000000"/>
                <w:sz w:val="22"/>
              </w:rPr>
              <w:t>CDBG: $</w:t>
            </w:r>
          </w:p>
        </w:tc>
        <w:tc>
          <w:tcPr>
            <w:tcW w:w="0" w:type="auto"/>
            <w:vAlign w:val="center"/>
          </w:tcPr>
          <w:p w14:paraId="358623F3" w14:textId="77777777" w:rsidR="00BB5584" w:rsidRDefault="00506586">
            <w:pPr>
              <w:spacing w:beforeAutospacing="1" w:afterAutospacing="1"/>
            </w:pPr>
            <w:r>
              <w:rPr>
                <w:color w:val="000000"/>
                <w:sz w:val="22"/>
              </w:rPr>
              <w:t>Public Facility or Infrastructure Activities other than Low/Moderate Income Housing Benefit</w:t>
            </w:r>
          </w:p>
        </w:tc>
        <w:tc>
          <w:tcPr>
            <w:tcW w:w="0" w:type="auto"/>
            <w:vAlign w:val="center"/>
          </w:tcPr>
          <w:p w14:paraId="761DE921" w14:textId="77777777" w:rsidR="00BB5584" w:rsidRDefault="00506586">
            <w:pPr>
              <w:spacing w:beforeAutospacing="1" w:afterAutospacing="1"/>
            </w:pPr>
            <w:r>
              <w:rPr>
                <w:color w:val="000000"/>
                <w:sz w:val="22"/>
              </w:rPr>
              <w:t>Persons Assisted</w:t>
            </w:r>
          </w:p>
        </w:tc>
        <w:tc>
          <w:tcPr>
            <w:tcW w:w="0" w:type="auto"/>
            <w:vAlign w:val="center"/>
          </w:tcPr>
          <w:p w14:paraId="74859E9B" w14:textId="77777777" w:rsidR="00BB5584" w:rsidRDefault="00506586">
            <w:pPr>
              <w:spacing w:beforeAutospacing="1" w:afterAutospacing="1"/>
            </w:pPr>
            <w:r>
              <w:rPr>
                <w:color w:val="000000"/>
                <w:sz w:val="22"/>
              </w:rPr>
              <w:t>1000</w:t>
            </w:r>
          </w:p>
        </w:tc>
        <w:tc>
          <w:tcPr>
            <w:tcW w:w="0" w:type="auto"/>
            <w:vAlign w:val="center"/>
          </w:tcPr>
          <w:p w14:paraId="452297D2" w14:textId="77777777" w:rsidR="00BB5584" w:rsidRDefault="00506586">
            <w:pPr>
              <w:spacing w:beforeAutospacing="1" w:afterAutospacing="1"/>
            </w:pPr>
            <w:r>
              <w:rPr>
                <w:color w:val="000000"/>
                <w:sz w:val="22"/>
              </w:rPr>
              <w:t>0</w:t>
            </w:r>
          </w:p>
        </w:tc>
        <w:tc>
          <w:tcPr>
            <w:tcW w:w="0" w:type="auto"/>
            <w:vAlign w:val="center"/>
          </w:tcPr>
          <w:p w14:paraId="5B272256" w14:textId="77777777" w:rsidR="00BB5584" w:rsidRDefault="00506586">
            <w:pPr>
              <w:spacing w:beforeAutospacing="1" w:afterAutospacing="1"/>
            </w:pPr>
            <w:r>
              <w:rPr>
                <w:color w:val="000000"/>
                <w:sz w:val="22"/>
              </w:rPr>
              <w:t xml:space="preserve">         0.00%</w:t>
            </w:r>
          </w:p>
        </w:tc>
        <w:tc>
          <w:tcPr>
            <w:tcW w:w="0" w:type="auto"/>
            <w:vAlign w:val="center"/>
          </w:tcPr>
          <w:p w14:paraId="075D2F49" w14:textId="77777777" w:rsidR="00BB5584" w:rsidRDefault="00506586">
            <w:pPr>
              <w:spacing w:beforeAutospacing="1" w:afterAutospacing="1"/>
            </w:pPr>
            <w:r>
              <w:rPr>
                <w:color w:val="000000"/>
                <w:sz w:val="22"/>
              </w:rPr>
              <w:t>500</w:t>
            </w:r>
          </w:p>
        </w:tc>
        <w:tc>
          <w:tcPr>
            <w:tcW w:w="0" w:type="auto"/>
            <w:vAlign w:val="center"/>
          </w:tcPr>
          <w:p w14:paraId="1CEBC888" w14:textId="77777777" w:rsidR="00BB5584" w:rsidRDefault="00506586">
            <w:pPr>
              <w:spacing w:beforeAutospacing="1" w:afterAutospacing="1"/>
            </w:pPr>
            <w:r>
              <w:rPr>
                <w:color w:val="000000"/>
                <w:sz w:val="22"/>
              </w:rPr>
              <w:t>0</w:t>
            </w:r>
          </w:p>
        </w:tc>
        <w:tc>
          <w:tcPr>
            <w:tcW w:w="0" w:type="auto"/>
            <w:vAlign w:val="center"/>
          </w:tcPr>
          <w:p w14:paraId="1C78C80C" w14:textId="77777777" w:rsidR="00BB5584" w:rsidRDefault="00506586">
            <w:pPr>
              <w:spacing w:beforeAutospacing="1" w:afterAutospacing="1"/>
            </w:pPr>
            <w:r>
              <w:rPr>
                <w:color w:val="000000"/>
                <w:sz w:val="22"/>
              </w:rPr>
              <w:t xml:space="preserve">         0.00%</w:t>
            </w:r>
          </w:p>
        </w:tc>
      </w:tr>
      <w:tr w:rsidR="00BB5584" w14:paraId="3E36ABCA" w14:textId="77777777">
        <w:trPr>
          <w:cantSplit/>
        </w:trPr>
        <w:tc>
          <w:tcPr>
            <w:tcW w:w="0" w:type="auto"/>
            <w:vAlign w:val="center"/>
          </w:tcPr>
          <w:p w14:paraId="59AD5607" w14:textId="77777777" w:rsidR="00BB5584" w:rsidRDefault="00506586">
            <w:pPr>
              <w:spacing w:beforeAutospacing="1" w:afterAutospacing="1"/>
            </w:pPr>
            <w:r>
              <w:rPr>
                <w:color w:val="000000"/>
                <w:sz w:val="22"/>
              </w:rPr>
              <w:t>Public Facilities</w:t>
            </w:r>
          </w:p>
        </w:tc>
        <w:tc>
          <w:tcPr>
            <w:tcW w:w="0" w:type="auto"/>
            <w:vAlign w:val="center"/>
          </w:tcPr>
          <w:p w14:paraId="69CA2A39" w14:textId="77777777" w:rsidR="00BB5584" w:rsidRDefault="00506586">
            <w:pPr>
              <w:spacing w:beforeAutospacing="1" w:afterAutospacing="1"/>
            </w:pPr>
            <w:r>
              <w:rPr>
                <w:color w:val="000000"/>
                <w:sz w:val="22"/>
              </w:rPr>
              <w:t>Homeless</w:t>
            </w:r>
            <w:r>
              <w:rPr>
                <w:color w:val="000000"/>
                <w:sz w:val="22"/>
              </w:rPr>
              <w:br/>
              <w:t>Non-Housing Community Development</w:t>
            </w:r>
          </w:p>
        </w:tc>
        <w:tc>
          <w:tcPr>
            <w:tcW w:w="0" w:type="auto"/>
            <w:vAlign w:val="center"/>
          </w:tcPr>
          <w:p w14:paraId="0BC2CB31" w14:textId="77777777" w:rsidR="00BB5584" w:rsidRDefault="00506586">
            <w:pPr>
              <w:spacing w:beforeAutospacing="1" w:afterAutospacing="1"/>
            </w:pPr>
            <w:r>
              <w:rPr>
                <w:color w:val="000000"/>
                <w:sz w:val="22"/>
              </w:rPr>
              <w:t>CDBG: $</w:t>
            </w:r>
          </w:p>
        </w:tc>
        <w:tc>
          <w:tcPr>
            <w:tcW w:w="0" w:type="auto"/>
            <w:vAlign w:val="center"/>
          </w:tcPr>
          <w:p w14:paraId="4AF9BB4A" w14:textId="77777777" w:rsidR="00BB5584" w:rsidRDefault="00506586">
            <w:pPr>
              <w:spacing w:beforeAutospacing="1" w:afterAutospacing="1"/>
            </w:pPr>
            <w:r>
              <w:rPr>
                <w:color w:val="000000"/>
                <w:sz w:val="22"/>
              </w:rPr>
              <w:t>Overnight/Emergency Shelter/Transitional Housing Beds added</w:t>
            </w:r>
          </w:p>
        </w:tc>
        <w:tc>
          <w:tcPr>
            <w:tcW w:w="0" w:type="auto"/>
            <w:vAlign w:val="center"/>
          </w:tcPr>
          <w:p w14:paraId="6992F154" w14:textId="77777777" w:rsidR="00BB5584" w:rsidRDefault="00506586">
            <w:pPr>
              <w:spacing w:beforeAutospacing="1" w:afterAutospacing="1"/>
            </w:pPr>
            <w:r>
              <w:rPr>
                <w:color w:val="000000"/>
                <w:sz w:val="22"/>
              </w:rPr>
              <w:t>Beds</w:t>
            </w:r>
          </w:p>
        </w:tc>
        <w:tc>
          <w:tcPr>
            <w:tcW w:w="0" w:type="auto"/>
            <w:vAlign w:val="center"/>
          </w:tcPr>
          <w:p w14:paraId="45410F7D" w14:textId="77777777" w:rsidR="00BB5584" w:rsidRDefault="00506586">
            <w:pPr>
              <w:spacing w:beforeAutospacing="1" w:afterAutospacing="1"/>
            </w:pPr>
            <w:r>
              <w:rPr>
                <w:color w:val="000000"/>
                <w:sz w:val="22"/>
              </w:rPr>
              <w:t>10</w:t>
            </w:r>
          </w:p>
        </w:tc>
        <w:tc>
          <w:tcPr>
            <w:tcW w:w="0" w:type="auto"/>
            <w:vAlign w:val="center"/>
          </w:tcPr>
          <w:p w14:paraId="6BFBFE6E" w14:textId="77777777" w:rsidR="00BB5584" w:rsidRDefault="00506586">
            <w:pPr>
              <w:spacing w:beforeAutospacing="1" w:afterAutospacing="1"/>
            </w:pPr>
            <w:r>
              <w:rPr>
                <w:color w:val="000000"/>
                <w:sz w:val="22"/>
              </w:rPr>
              <w:t>0</w:t>
            </w:r>
          </w:p>
        </w:tc>
        <w:tc>
          <w:tcPr>
            <w:tcW w:w="0" w:type="auto"/>
            <w:vAlign w:val="center"/>
          </w:tcPr>
          <w:p w14:paraId="3D5CC1DD" w14:textId="77777777" w:rsidR="00BB5584" w:rsidRDefault="00506586">
            <w:pPr>
              <w:spacing w:beforeAutospacing="1" w:afterAutospacing="1"/>
            </w:pPr>
            <w:r>
              <w:rPr>
                <w:color w:val="000000"/>
                <w:sz w:val="22"/>
              </w:rPr>
              <w:t xml:space="preserve">         0.00%</w:t>
            </w:r>
          </w:p>
        </w:tc>
        <w:tc>
          <w:tcPr>
            <w:tcW w:w="0" w:type="auto"/>
            <w:vAlign w:val="center"/>
          </w:tcPr>
          <w:p w14:paraId="2A861786" w14:textId="77777777" w:rsidR="00BB5584" w:rsidRDefault="00506586">
            <w:pPr>
              <w:spacing w:beforeAutospacing="1" w:afterAutospacing="1"/>
            </w:pPr>
            <w:r>
              <w:rPr>
                <w:color w:val="000000"/>
                <w:sz w:val="22"/>
              </w:rPr>
              <w:t xml:space="preserve"> </w:t>
            </w:r>
          </w:p>
        </w:tc>
        <w:tc>
          <w:tcPr>
            <w:tcW w:w="0" w:type="auto"/>
            <w:vAlign w:val="center"/>
          </w:tcPr>
          <w:p w14:paraId="75413A28" w14:textId="77777777" w:rsidR="00BB5584" w:rsidRDefault="00506586">
            <w:pPr>
              <w:spacing w:beforeAutospacing="1" w:afterAutospacing="1"/>
            </w:pPr>
            <w:r>
              <w:rPr>
                <w:color w:val="000000"/>
                <w:sz w:val="22"/>
              </w:rPr>
              <w:t xml:space="preserve"> </w:t>
            </w:r>
          </w:p>
        </w:tc>
        <w:tc>
          <w:tcPr>
            <w:tcW w:w="0" w:type="auto"/>
            <w:vAlign w:val="center"/>
          </w:tcPr>
          <w:p w14:paraId="6260FF80" w14:textId="77777777" w:rsidR="00BB5584" w:rsidRDefault="00506586">
            <w:pPr>
              <w:spacing w:beforeAutospacing="1" w:afterAutospacing="1"/>
            </w:pPr>
            <w:r>
              <w:rPr>
                <w:color w:val="000000"/>
                <w:sz w:val="22"/>
              </w:rPr>
              <w:t xml:space="preserve"> </w:t>
            </w:r>
          </w:p>
        </w:tc>
      </w:tr>
      <w:tr w:rsidR="00BB5584" w14:paraId="4386B99A" w14:textId="77777777">
        <w:trPr>
          <w:cantSplit/>
        </w:trPr>
        <w:tc>
          <w:tcPr>
            <w:tcW w:w="0" w:type="auto"/>
            <w:vAlign w:val="center"/>
          </w:tcPr>
          <w:p w14:paraId="52693980" w14:textId="77777777" w:rsidR="00BB5584" w:rsidRDefault="00506586">
            <w:pPr>
              <w:spacing w:beforeAutospacing="1" w:afterAutospacing="1"/>
            </w:pPr>
            <w:r>
              <w:rPr>
                <w:color w:val="000000"/>
                <w:sz w:val="22"/>
              </w:rPr>
              <w:t>Public Service</w:t>
            </w:r>
          </w:p>
        </w:tc>
        <w:tc>
          <w:tcPr>
            <w:tcW w:w="0" w:type="auto"/>
            <w:vAlign w:val="center"/>
          </w:tcPr>
          <w:p w14:paraId="29CFCA87" w14:textId="77777777" w:rsidR="00BB5584" w:rsidRDefault="00506586">
            <w:pPr>
              <w:spacing w:beforeAutospacing="1" w:afterAutospacing="1"/>
            </w:pPr>
            <w:r>
              <w:rPr>
                <w:color w:val="000000"/>
                <w:sz w:val="22"/>
              </w:rPr>
              <w:t>Public Housing</w:t>
            </w:r>
            <w:r>
              <w:rPr>
                <w:color w:val="000000"/>
                <w:sz w:val="22"/>
              </w:rPr>
              <w:br/>
              <w:t>Homeless</w:t>
            </w:r>
            <w:r>
              <w:rPr>
                <w:color w:val="000000"/>
                <w:sz w:val="22"/>
              </w:rPr>
              <w:br/>
              <w:t>Non-Housing Community Development</w:t>
            </w:r>
          </w:p>
        </w:tc>
        <w:tc>
          <w:tcPr>
            <w:tcW w:w="0" w:type="auto"/>
            <w:vAlign w:val="center"/>
          </w:tcPr>
          <w:p w14:paraId="23996D85" w14:textId="77777777" w:rsidR="00BB5584" w:rsidRDefault="00506586">
            <w:pPr>
              <w:spacing w:beforeAutospacing="1" w:afterAutospacing="1"/>
            </w:pPr>
            <w:r>
              <w:rPr>
                <w:color w:val="000000"/>
                <w:sz w:val="22"/>
              </w:rPr>
              <w:t>CDBG: $</w:t>
            </w:r>
          </w:p>
        </w:tc>
        <w:tc>
          <w:tcPr>
            <w:tcW w:w="0" w:type="auto"/>
            <w:vAlign w:val="center"/>
          </w:tcPr>
          <w:p w14:paraId="500B3DF0" w14:textId="77777777" w:rsidR="00BB5584" w:rsidRDefault="00506586">
            <w:pPr>
              <w:spacing w:beforeAutospacing="1" w:afterAutospacing="1"/>
            </w:pPr>
            <w:r>
              <w:rPr>
                <w:color w:val="000000"/>
                <w:sz w:val="22"/>
              </w:rPr>
              <w:t>Public service activities other than Low/Moderate Income Housing Benefit</w:t>
            </w:r>
          </w:p>
        </w:tc>
        <w:tc>
          <w:tcPr>
            <w:tcW w:w="0" w:type="auto"/>
            <w:vAlign w:val="center"/>
          </w:tcPr>
          <w:p w14:paraId="5A5409FC" w14:textId="77777777" w:rsidR="00BB5584" w:rsidRDefault="00506586">
            <w:pPr>
              <w:spacing w:beforeAutospacing="1" w:afterAutospacing="1"/>
            </w:pPr>
            <w:r>
              <w:rPr>
                <w:color w:val="000000"/>
                <w:sz w:val="22"/>
              </w:rPr>
              <w:t>Persons Assisted</w:t>
            </w:r>
          </w:p>
        </w:tc>
        <w:tc>
          <w:tcPr>
            <w:tcW w:w="0" w:type="auto"/>
            <w:vAlign w:val="center"/>
          </w:tcPr>
          <w:p w14:paraId="650FF4AB" w14:textId="77777777" w:rsidR="00BB5584" w:rsidRDefault="00506586">
            <w:pPr>
              <w:spacing w:beforeAutospacing="1" w:afterAutospacing="1"/>
            </w:pPr>
            <w:r>
              <w:rPr>
                <w:color w:val="000000"/>
                <w:sz w:val="22"/>
              </w:rPr>
              <w:t>10</w:t>
            </w:r>
          </w:p>
        </w:tc>
        <w:tc>
          <w:tcPr>
            <w:tcW w:w="0" w:type="auto"/>
            <w:vAlign w:val="center"/>
          </w:tcPr>
          <w:p w14:paraId="302A2215" w14:textId="77777777" w:rsidR="00BB5584" w:rsidRDefault="00506586">
            <w:pPr>
              <w:spacing w:beforeAutospacing="1" w:afterAutospacing="1"/>
            </w:pPr>
            <w:r>
              <w:rPr>
                <w:color w:val="000000"/>
                <w:sz w:val="22"/>
              </w:rPr>
              <w:t>0</w:t>
            </w:r>
          </w:p>
        </w:tc>
        <w:tc>
          <w:tcPr>
            <w:tcW w:w="0" w:type="auto"/>
            <w:vAlign w:val="center"/>
          </w:tcPr>
          <w:p w14:paraId="5B6A50ED" w14:textId="77777777" w:rsidR="00BB5584" w:rsidRDefault="00506586">
            <w:pPr>
              <w:spacing w:beforeAutospacing="1" w:afterAutospacing="1"/>
            </w:pPr>
            <w:r>
              <w:rPr>
                <w:color w:val="000000"/>
                <w:sz w:val="22"/>
              </w:rPr>
              <w:t xml:space="preserve">         0.00%</w:t>
            </w:r>
          </w:p>
        </w:tc>
        <w:tc>
          <w:tcPr>
            <w:tcW w:w="0" w:type="auto"/>
            <w:vAlign w:val="center"/>
          </w:tcPr>
          <w:p w14:paraId="18AF7103" w14:textId="77777777" w:rsidR="00BB5584" w:rsidRDefault="00506586">
            <w:pPr>
              <w:spacing w:beforeAutospacing="1" w:afterAutospacing="1"/>
            </w:pPr>
            <w:r>
              <w:rPr>
                <w:color w:val="000000"/>
                <w:sz w:val="22"/>
              </w:rPr>
              <w:t>2</w:t>
            </w:r>
          </w:p>
        </w:tc>
        <w:tc>
          <w:tcPr>
            <w:tcW w:w="0" w:type="auto"/>
            <w:vAlign w:val="center"/>
          </w:tcPr>
          <w:p w14:paraId="1D8F3C8F" w14:textId="77777777" w:rsidR="00BB5584" w:rsidRDefault="00506586">
            <w:pPr>
              <w:spacing w:beforeAutospacing="1" w:afterAutospacing="1"/>
            </w:pPr>
            <w:r>
              <w:rPr>
                <w:color w:val="000000"/>
                <w:sz w:val="22"/>
              </w:rPr>
              <w:t>0</w:t>
            </w:r>
          </w:p>
        </w:tc>
        <w:tc>
          <w:tcPr>
            <w:tcW w:w="0" w:type="auto"/>
            <w:vAlign w:val="center"/>
          </w:tcPr>
          <w:p w14:paraId="1B1303D5" w14:textId="77777777" w:rsidR="00BB5584" w:rsidRDefault="00506586">
            <w:pPr>
              <w:spacing w:beforeAutospacing="1" w:afterAutospacing="1"/>
            </w:pPr>
            <w:r>
              <w:rPr>
                <w:color w:val="000000"/>
                <w:sz w:val="22"/>
              </w:rPr>
              <w:t xml:space="preserve">         0.00%</w:t>
            </w:r>
          </w:p>
        </w:tc>
      </w:tr>
      <w:tr w:rsidR="00BB5584" w14:paraId="16C42D26" w14:textId="77777777">
        <w:trPr>
          <w:cantSplit/>
        </w:trPr>
        <w:tc>
          <w:tcPr>
            <w:tcW w:w="0" w:type="auto"/>
            <w:vAlign w:val="center"/>
          </w:tcPr>
          <w:p w14:paraId="228B1DC4" w14:textId="77777777" w:rsidR="00BB5584" w:rsidRDefault="00506586">
            <w:pPr>
              <w:spacing w:beforeAutospacing="1" w:afterAutospacing="1"/>
            </w:pPr>
            <w:r>
              <w:rPr>
                <w:color w:val="000000"/>
                <w:sz w:val="22"/>
              </w:rPr>
              <w:t>Reducing Substandard Structures</w:t>
            </w:r>
          </w:p>
        </w:tc>
        <w:tc>
          <w:tcPr>
            <w:tcW w:w="0" w:type="auto"/>
            <w:vAlign w:val="center"/>
          </w:tcPr>
          <w:p w14:paraId="4E01B35B" w14:textId="77777777" w:rsidR="00BB5584" w:rsidRDefault="00506586">
            <w:pPr>
              <w:spacing w:beforeAutospacing="1" w:afterAutospacing="1"/>
            </w:pPr>
            <w:r>
              <w:rPr>
                <w:color w:val="000000"/>
                <w:sz w:val="22"/>
              </w:rPr>
              <w:t>Housing Community Development</w:t>
            </w:r>
          </w:p>
        </w:tc>
        <w:tc>
          <w:tcPr>
            <w:tcW w:w="0" w:type="auto"/>
            <w:vAlign w:val="center"/>
          </w:tcPr>
          <w:p w14:paraId="324A8B04" w14:textId="77777777" w:rsidR="00BB5584" w:rsidRDefault="00506586">
            <w:pPr>
              <w:spacing w:beforeAutospacing="1" w:afterAutospacing="1"/>
            </w:pPr>
            <w:r>
              <w:rPr>
                <w:color w:val="000000"/>
                <w:sz w:val="22"/>
              </w:rPr>
              <w:t>CDBG: $</w:t>
            </w:r>
          </w:p>
        </w:tc>
        <w:tc>
          <w:tcPr>
            <w:tcW w:w="0" w:type="auto"/>
            <w:vAlign w:val="center"/>
          </w:tcPr>
          <w:p w14:paraId="70C3F3F0" w14:textId="77777777" w:rsidR="00BB5584" w:rsidRDefault="00506586">
            <w:pPr>
              <w:spacing w:beforeAutospacing="1" w:afterAutospacing="1"/>
            </w:pPr>
            <w:r>
              <w:rPr>
                <w:color w:val="000000"/>
                <w:sz w:val="22"/>
              </w:rPr>
              <w:t>Buildings Demolished</w:t>
            </w:r>
          </w:p>
        </w:tc>
        <w:tc>
          <w:tcPr>
            <w:tcW w:w="0" w:type="auto"/>
            <w:vAlign w:val="center"/>
          </w:tcPr>
          <w:p w14:paraId="28723613" w14:textId="77777777" w:rsidR="00BB5584" w:rsidRDefault="00506586">
            <w:pPr>
              <w:spacing w:beforeAutospacing="1" w:afterAutospacing="1"/>
            </w:pPr>
            <w:r>
              <w:rPr>
                <w:color w:val="000000"/>
                <w:sz w:val="22"/>
              </w:rPr>
              <w:t>Buildings</w:t>
            </w:r>
          </w:p>
        </w:tc>
        <w:tc>
          <w:tcPr>
            <w:tcW w:w="0" w:type="auto"/>
            <w:vAlign w:val="center"/>
          </w:tcPr>
          <w:p w14:paraId="4091425B" w14:textId="77777777" w:rsidR="00BB5584" w:rsidRDefault="00506586">
            <w:pPr>
              <w:spacing w:beforeAutospacing="1" w:afterAutospacing="1"/>
            </w:pPr>
            <w:r>
              <w:rPr>
                <w:color w:val="000000"/>
                <w:sz w:val="22"/>
              </w:rPr>
              <w:t>60</w:t>
            </w:r>
          </w:p>
        </w:tc>
        <w:tc>
          <w:tcPr>
            <w:tcW w:w="0" w:type="auto"/>
            <w:vAlign w:val="center"/>
          </w:tcPr>
          <w:p w14:paraId="1FAB7387" w14:textId="77777777" w:rsidR="00BB5584" w:rsidRDefault="00506586">
            <w:pPr>
              <w:spacing w:beforeAutospacing="1" w:afterAutospacing="1"/>
            </w:pPr>
            <w:r>
              <w:rPr>
                <w:color w:val="000000"/>
                <w:sz w:val="22"/>
              </w:rPr>
              <w:t>9</w:t>
            </w:r>
          </w:p>
        </w:tc>
        <w:tc>
          <w:tcPr>
            <w:tcW w:w="0" w:type="auto"/>
            <w:vAlign w:val="center"/>
          </w:tcPr>
          <w:p w14:paraId="0F7BCD0D" w14:textId="77777777" w:rsidR="00BB5584" w:rsidRDefault="00506586">
            <w:pPr>
              <w:spacing w:beforeAutospacing="1" w:afterAutospacing="1"/>
            </w:pPr>
            <w:r>
              <w:rPr>
                <w:color w:val="000000"/>
                <w:sz w:val="22"/>
              </w:rPr>
              <w:t xml:space="preserve">        15.00%</w:t>
            </w:r>
          </w:p>
        </w:tc>
        <w:tc>
          <w:tcPr>
            <w:tcW w:w="0" w:type="auto"/>
            <w:vAlign w:val="center"/>
          </w:tcPr>
          <w:p w14:paraId="1B761862" w14:textId="77777777" w:rsidR="00BB5584" w:rsidRDefault="00506586">
            <w:pPr>
              <w:spacing w:beforeAutospacing="1" w:afterAutospacing="1"/>
            </w:pPr>
            <w:r>
              <w:rPr>
                <w:color w:val="000000"/>
                <w:sz w:val="22"/>
              </w:rPr>
              <w:t>12</w:t>
            </w:r>
          </w:p>
        </w:tc>
        <w:tc>
          <w:tcPr>
            <w:tcW w:w="0" w:type="auto"/>
            <w:vAlign w:val="center"/>
          </w:tcPr>
          <w:p w14:paraId="1C9224F8" w14:textId="77777777" w:rsidR="00BB5584" w:rsidRDefault="00506586">
            <w:pPr>
              <w:spacing w:beforeAutospacing="1" w:afterAutospacing="1"/>
            </w:pPr>
            <w:r>
              <w:rPr>
                <w:color w:val="000000"/>
                <w:sz w:val="22"/>
              </w:rPr>
              <w:t>9</w:t>
            </w:r>
          </w:p>
        </w:tc>
        <w:tc>
          <w:tcPr>
            <w:tcW w:w="0" w:type="auto"/>
            <w:vAlign w:val="center"/>
          </w:tcPr>
          <w:p w14:paraId="2DA10EDE" w14:textId="77777777" w:rsidR="00BB5584" w:rsidRDefault="00506586">
            <w:pPr>
              <w:spacing w:beforeAutospacing="1" w:afterAutospacing="1"/>
            </w:pPr>
            <w:r>
              <w:rPr>
                <w:color w:val="000000"/>
                <w:sz w:val="22"/>
              </w:rPr>
              <w:t xml:space="preserve">        75.00%</w:t>
            </w:r>
          </w:p>
        </w:tc>
      </w:tr>
      <w:tr w:rsidR="00BB5584" w14:paraId="64AE91BC" w14:textId="77777777">
        <w:trPr>
          <w:cantSplit/>
        </w:trPr>
        <w:tc>
          <w:tcPr>
            <w:tcW w:w="0" w:type="auto"/>
            <w:vAlign w:val="center"/>
          </w:tcPr>
          <w:p w14:paraId="7F04BDC1" w14:textId="77777777" w:rsidR="00BB5584" w:rsidRDefault="00506586">
            <w:pPr>
              <w:spacing w:beforeAutospacing="1" w:afterAutospacing="1"/>
            </w:pPr>
            <w:r>
              <w:rPr>
                <w:color w:val="000000"/>
                <w:sz w:val="22"/>
              </w:rPr>
              <w:t>Reducing Substandard Structures</w:t>
            </w:r>
          </w:p>
        </w:tc>
        <w:tc>
          <w:tcPr>
            <w:tcW w:w="0" w:type="auto"/>
            <w:vAlign w:val="center"/>
          </w:tcPr>
          <w:p w14:paraId="73F082BB" w14:textId="77777777" w:rsidR="00BB5584" w:rsidRDefault="00506586">
            <w:pPr>
              <w:spacing w:beforeAutospacing="1" w:afterAutospacing="1"/>
            </w:pPr>
            <w:r>
              <w:rPr>
                <w:color w:val="000000"/>
                <w:sz w:val="22"/>
              </w:rPr>
              <w:t>Housing Community Development</w:t>
            </w:r>
          </w:p>
        </w:tc>
        <w:tc>
          <w:tcPr>
            <w:tcW w:w="0" w:type="auto"/>
            <w:vAlign w:val="center"/>
          </w:tcPr>
          <w:p w14:paraId="6CD4363E" w14:textId="77777777" w:rsidR="00BB5584" w:rsidRDefault="00506586">
            <w:pPr>
              <w:spacing w:beforeAutospacing="1" w:afterAutospacing="1"/>
            </w:pPr>
            <w:r>
              <w:rPr>
                <w:color w:val="000000"/>
                <w:sz w:val="22"/>
              </w:rPr>
              <w:t>CDBG: $</w:t>
            </w:r>
          </w:p>
        </w:tc>
        <w:tc>
          <w:tcPr>
            <w:tcW w:w="0" w:type="auto"/>
            <w:vAlign w:val="center"/>
          </w:tcPr>
          <w:p w14:paraId="2431E189" w14:textId="77777777" w:rsidR="00BB5584" w:rsidRDefault="00506586">
            <w:pPr>
              <w:spacing w:beforeAutospacing="1" w:afterAutospacing="1"/>
            </w:pPr>
            <w:r>
              <w:rPr>
                <w:color w:val="000000"/>
                <w:sz w:val="22"/>
              </w:rPr>
              <w:t>Housing Code Enforcement/Foreclosed Property Care</w:t>
            </w:r>
          </w:p>
        </w:tc>
        <w:tc>
          <w:tcPr>
            <w:tcW w:w="0" w:type="auto"/>
            <w:vAlign w:val="center"/>
          </w:tcPr>
          <w:p w14:paraId="28A605BC" w14:textId="77777777" w:rsidR="00BB5584" w:rsidRDefault="00506586">
            <w:pPr>
              <w:spacing w:beforeAutospacing="1" w:afterAutospacing="1"/>
            </w:pPr>
            <w:r>
              <w:rPr>
                <w:color w:val="000000"/>
                <w:sz w:val="22"/>
              </w:rPr>
              <w:t>Household Housing Unit</w:t>
            </w:r>
          </w:p>
        </w:tc>
        <w:tc>
          <w:tcPr>
            <w:tcW w:w="0" w:type="auto"/>
            <w:vAlign w:val="center"/>
          </w:tcPr>
          <w:p w14:paraId="0436C349" w14:textId="77777777" w:rsidR="00BB5584" w:rsidRDefault="00506586">
            <w:pPr>
              <w:spacing w:beforeAutospacing="1" w:afterAutospacing="1"/>
            </w:pPr>
            <w:r>
              <w:rPr>
                <w:color w:val="000000"/>
                <w:sz w:val="22"/>
              </w:rPr>
              <w:t>60</w:t>
            </w:r>
          </w:p>
        </w:tc>
        <w:tc>
          <w:tcPr>
            <w:tcW w:w="0" w:type="auto"/>
            <w:vAlign w:val="center"/>
          </w:tcPr>
          <w:p w14:paraId="43EE6DA8" w14:textId="77777777" w:rsidR="00BB5584" w:rsidRDefault="00506586">
            <w:pPr>
              <w:spacing w:beforeAutospacing="1" w:afterAutospacing="1"/>
            </w:pPr>
            <w:r>
              <w:rPr>
                <w:color w:val="000000"/>
                <w:sz w:val="22"/>
              </w:rPr>
              <w:t>0</w:t>
            </w:r>
          </w:p>
        </w:tc>
        <w:tc>
          <w:tcPr>
            <w:tcW w:w="0" w:type="auto"/>
            <w:vAlign w:val="center"/>
          </w:tcPr>
          <w:p w14:paraId="2CF1B154" w14:textId="77777777" w:rsidR="00BB5584" w:rsidRDefault="00506586">
            <w:pPr>
              <w:spacing w:beforeAutospacing="1" w:afterAutospacing="1"/>
            </w:pPr>
            <w:r>
              <w:rPr>
                <w:color w:val="000000"/>
                <w:sz w:val="22"/>
              </w:rPr>
              <w:t xml:space="preserve">         0.00%</w:t>
            </w:r>
          </w:p>
        </w:tc>
        <w:tc>
          <w:tcPr>
            <w:tcW w:w="0" w:type="auto"/>
            <w:vAlign w:val="center"/>
          </w:tcPr>
          <w:p w14:paraId="4F2CC18D" w14:textId="77777777" w:rsidR="00BB5584" w:rsidRDefault="00506586">
            <w:pPr>
              <w:spacing w:beforeAutospacing="1" w:afterAutospacing="1"/>
            </w:pPr>
            <w:r>
              <w:rPr>
                <w:color w:val="000000"/>
                <w:sz w:val="22"/>
              </w:rPr>
              <w:t>12</w:t>
            </w:r>
          </w:p>
        </w:tc>
        <w:tc>
          <w:tcPr>
            <w:tcW w:w="0" w:type="auto"/>
            <w:vAlign w:val="center"/>
          </w:tcPr>
          <w:p w14:paraId="030A167E" w14:textId="77777777" w:rsidR="00BB5584" w:rsidRDefault="00506586">
            <w:pPr>
              <w:spacing w:beforeAutospacing="1" w:afterAutospacing="1"/>
            </w:pPr>
            <w:r>
              <w:rPr>
                <w:color w:val="000000"/>
                <w:sz w:val="22"/>
              </w:rPr>
              <w:t>0</w:t>
            </w:r>
          </w:p>
        </w:tc>
        <w:tc>
          <w:tcPr>
            <w:tcW w:w="0" w:type="auto"/>
            <w:vAlign w:val="center"/>
          </w:tcPr>
          <w:p w14:paraId="350D9234" w14:textId="77777777" w:rsidR="00BB5584" w:rsidRDefault="00506586">
            <w:pPr>
              <w:spacing w:beforeAutospacing="1" w:afterAutospacing="1"/>
            </w:pPr>
            <w:r>
              <w:rPr>
                <w:color w:val="000000"/>
                <w:sz w:val="22"/>
              </w:rPr>
              <w:t xml:space="preserve">         0.00%</w:t>
            </w:r>
          </w:p>
        </w:tc>
      </w:tr>
    </w:tbl>
    <w:p w14:paraId="1819B6A9"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w:t>
      </w:r>
      <w:r>
        <w:rPr>
          <w:rFonts w:asciiTheme="minorHAnsi" w:hAnsiTheme="minorHAnsi"/>
        </w:rPr>
        <w:t>gram Year &amp; Strategic Plan to Date</w:t>
      </w:r>
    </w:p>
    <w:p w14:paraId="2D81314F" w14:textId="77777777" w:rsidR="00BB5584" w:rsidRDefault="00BB5584"/>
    <w:p w14:paraId="504D7B37" w14:textId="77777777" w:rsidR="00BB5584" w:rsidRDefault="00BB5584">
      <w:pPr>
        <w:spacing w:after="0" w:line="240" w:lineRule="auto"/>
      </w:pPr>
    </w:p>
    <w:p w14:paraId="477CCCD0" w14:textId="77777777" w:rsidR="00BB5584" w:rsidRDefault="00506586">
      <w:pPr>
        <w:keepNext/>
        <w:widowControl w:val="0"/>
        <w:rPr>
          <w:b/>
          <w:sz w:val="24"/>
          <w:szCs w:val="24"/>
        </w:rPr>
      </w:pPr>
      <w:r>
        <w:rPr>
          <w:b/>
          <w:sz w:val="24"/>
          <w:szCs w:val="24"/>
        </w:rPr>
        <w:lastRenderedPageBreak/>
        <w:t>Assess how the jurisdiction’s use of funds, particularly CDBG, addresses the priorities and specific objectives identified in the plan, giving special attention to the highest priority activities identified.</w:t>
      </w:r>
    </w:p>
    <w:p w14:paraId="19CA2D9E" w14:textId="77777777" w:rsidR="00BB5584" w:rsidRDefault="00506586">
      <w:pPr>
        <w:keepNext/>
        <w:widowControl w:val="0"/>
        <w:spacing w:beforeAutospacing="1" w:afterAutospacing="1"/>
      </w:pPr>
      <w:r>
        <w:t>The City of Tyler utilized the majority of its Program Year 2020 and unused previous years' grants to address the construction or rehabilitation of public facilities. The second largest use of funds was to identify and enforce code violations in low and mo</w:t>
      </w:r>
      <w:r>
        <w:t>derate income census tracts and demolish substandard vacant structures.</w:t>
      </w:r>
    </w:p>
    <w:p w14:paraId="7C44C902" w14:textId="77777777" w:rsidR="00BB5584" w:rsidRDefault="00506586">
      <w:pPr>
        <w:keepNext/>
        <w:widowControl w:val="0"/>
        <w:spacing w:beforeAutospacing="1" w:afterAutospacing="1"/>
      </w:pPr>
      <w:r>
        <w:br/>
        <w:t>The Hidden Palace infrastructure project was completed the first month of this Program Year and houses have started to be constructed on these lots.</w:t>
      </w:r>
    </w:p>
    <w:p w14:paraId="75E03DEC" w14:textId="77777777" w:rsidR="00BB5584" w:rsidRDefault="00BB5584">
      <w:pPr>
        <w:keepNext/>
        <w:widowControl w:val="0"/>
        <w:spacing w:line="204" w:lineRule="auto"/>
        <w:rPr>
          <w:b/>
          <w:sz w:val="24"/>
          <w:szCs w:val="24"/>
        </w:rPr>
      </w:pPr>
    </w:p>
    <w:p w14:paraId="36B46BAA" w14:textId="77777777" w:rsidR="00BB5584" w:rsidRDefault="00BB5584">
      <w:pPr>
        <w:rPr>
          <w:b/>
          <w:i/>
          <w:sz w:val="26"/>
          <w:szCs w:val="26"/>
        </w:rPr>
        <w:sectPr w:rsidR="00BB5584">
          <w:footerReference w:type="default" r:id="rId8"/>
          <w:pgSz w:w="15840" w:h="12240" w:orient="landscape"/>
          <w:pgMar w:top="1440" w:right="1440" w:bottom="1440" w:left="1440" w:header="720" w:footer="720" w:gutter="0"/>
          <w:cols w:space="720"/>
          <w:docGrid w:linePitch="360"/>
        </w:sectPr>
      </w:pPr>
    </w:p>
    <w:p w14:paraId="42932602" w14:textId="77777777" w:rsidR="00BB5584" w:rsidRDefault="00506586">
      <w:pPr>
        <w:pStyle w:val="Heading2"/>
        <w:rPr>
          <w:rFonts w:asciiTheme="minorHAnsi" w:hAnsiTheme="minorHAnsi"/>
          <w:i w:val="0"/>
        </w:rPr>
      </w:pPr>
      <w:bookmarkStart w:id="0" w:name="_Toc309810474"/>
      <w:r>
        <w:rPr>
          <w:rFonts w:asciiTheme="minorHAnsi" w:hAnsiTheme="minorHAnsi"/>
          <w:i w:val="0"/>
        </w:rPr>
        <w:lastRenderedPageBreak/>
        <w:t>CR-10 - Racial and Ethnic composition of families assisted</w:t>
      </w:r>
    </w:p>
    <w:p w14:paraId="2225FEFC" w14:textId="77777777" w:rsidR="00BB5584" w:rsidRDefault="00506586">
      <w:pPr>
        <w:keepNext/>
        <w:widowControl w:val="0"/>
        <w:rPr>
          <w:b/>
          <w:sz w:val="24"/>
          <w:szCs w:val="24"/>
        </w:rPr>
      </w:pPr>
      <w:r>
        <w:rPr>
          <w:b/>
          <w:sz w:val="24"/>
          <w:szCs w:val="24"/>
        </w:rPr>
        <w:t xml:space="preserve">Describe the families assisted (including the racial and ethnic status of families assisted). 91.520(a) </w:t>
      </w:r>
    </w:p>
    <w:p w14:paraId="26B3BE60" w14:textId="77777777" w:rsidR="00BB5584" w:rsidRDefault="00BB5584">
      <w:pPr>
        <w:widowControl w:val="0"/>
        <w:spacing w:after="0" w:line="240" w:lineRule="auto"/>
        <w:rPr>
          <w:b/>
          <w:vanish/>
          <w:sz w:val="24"/>
          <w:szCs w:val="24"/>
        </w:rPr>
      </w:pPr>
    </w:p>
    <w:p w14:paraId="589B1E86" w14:textId="77777777" w:rsidR="00BB5584" w:rsidRDefault="00BB5584">
      <w:pPr>
        <w:pStyle w:val="NoSpacing"/>
        <w:rPr>
          <w:vanish/>
        </w:rPr>
      </w:pPr>
    </w:p>
    <w:p w14:paraId="51EED69E" w14:textId="77777777" w:rsidR="00BB5584" w:rsidRDefault="00BB5584">
      <w:pPr>
        <w:pStyle w:val="NoSpacing"/>
        <w:rPr>
          <w:vanish/>
        </w:rPr>
      </w:pPr>
    </w:p>
    <w:p w14:paraId="52AC405E" w14:textId="77777777" w:rsidR="00BB5584" w:rsidRDefault="00BB5584">
      <w:pPr>
        <w:pStyle w:val="NoSpacing"/>
        <w:rPr>
          <w:vanish/>
        </w:rPr>
      </w:pPr>
    </w:p>
    <w:p w14:paraId="352E2F3D" w14:textId="77777777" w:rsidR="00BB5584" w:rsidRDefault="00BB5584">
      <w:pPr>
        <w:pStyle w:val="NoSpacing"/>
        <w:rPr>
          <w:vanish/>
        </w:rPr>
      </w:pPr>
    </w:p>
    <w:p w14:paraId="47D70FE0" w14:textId="77777777" w:rsidR="00BB5584" w:rsidRDefault="00BB5584">
      <w:pPr>
        <w:pStyle w:val="NoSpacing"/>
        <w:rPr>
          <w:vanish/>
        </w:rPr>
      </w:pPr>
    </w:p>
    <w:p w14:paraId="2088E09D" w14:textId="77777777" w:rsidR="00BB5584" w:rsidRDefault="00BB5584">
      <w:pPr>
        <w:pStyle w:val="NoSpacing"/>
        <w:rPr>
          <w:vanish/>
        </w:rPr>
      </w:pPr>
    </w:p>
    <w:p w14:paraId="3E1DB184" w14:textId="77777777" w:rsidR="00BB5584" w:rsidRDefault="00BB5584">
      <w:pPr>
        <w:pStyle w:val="NoSpacing"/>
        <w:rPr>
          <w:vanish/>
        </w:rPr>
      </w:pPr>
    </w:p>
    <w:p w14:paraId="142FDD90" w14:textId="77777777" w:rsidR="00BB5584" w:rsidRDefault="00BB5584">
      <w:pPr>
        <w:pStyle w:val="NoSpacing"/>
        <w:rPr>
          <w:vanish/>
        </w:rPr>
      </w:pPr>
    </w:p>
    <w:p w14:paraId="0B53912B" w14:textId="77777777" w:rsidR="00BB5584" w:rsidRDefault="00BB5584">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BB5584" w14:paraId="0E32FE76" w14:textId="77777777">
        <w:trPr>
          <w:cantSplit/>
        </w:trPr>
        <w:tc>
          <w:tcPr>
            <w:tcW w:w="3009" w:type="pct"/>
          </w:tcPr>
          <w:p w14:paraId="1FF4C669" w14:textId="77777777" w:rsidR="00BB5584" w:rsidRDefault="00BB5584">
            <w:pPr>
              <w:spacing w:after="0"/>
              <w:rPr>
                <w:b/>
              </w:rPr>
            </w:pPr>
          </w:p>
        </w:tc>
        <w:tc>
          <w:tcPr>
            <w:tcW w:w="992" w:type="pct"/>
          </w:tcPr>
          <w:p w14:paraId="0C6C6EEF" w14:textId="77777777" w:rsidR="00BB5584" w:rsidRDefault="00506586">
            <w:pPr>
              <w:spacing w:after="0"/>
              <w:jc w:val="center"/>
              <w:rPr>
                <w:b/>
              </w:rPr>
            </w:pPr>
            <w:r>
              <w:rPr>
                <w:b/>
              </w:rPr>
              <w:t>CDBG</w:t>
            </w:r>
          </w:p>
        </w:tc>
        <w:tc>
          <w:tcPr>
            <w:tcW w:w="992" w:type="pct"/>
          </w:tcPr>
          <w:p w14:paraId="36E8708F" w14:textId="77777777" w:rsidR="00BB5584" w:rsidRDefault="00506586">
            <w:pPr>
              <w:spacing w:after="0"/>
              <w:jc w:val="center"/>
              <w:rPr>
                <w:b/>
              </w:rPr>
            </w:pPr>
            <w:r>
              <w:rPr>
                <w:b/>
              </w:rPr>
              <w:t>HOME</w:t>
            </w:r>
          </w:p>
        </w:tc>
      </w:tr>
      <w:tr w:rsidR="00BB5584" w14:paraId="55CDC074" w14:textId="77777777">
        <w:trPr>
          <w:cantSplit/>
        </w:trPr>
        <w:tc>
          <w:tcPr>
            <w:tcW w:w="4821" w:type="dxa"/>
            <w:vAlign w:val="bottom"/>
          </w:tcPr>
          <w:p w14:paraId="5558A68B" w14:textId="77777777" w:rsidR="00BB5584" w:rsidRDefault="00506586">
            <w:pPr>
              <w:spacing w:beforeAutospacing="1" w:afterAutospacing="1"/>
            </w:pPr>
            <w:r>
              <w:rPr>
                <w:color w:val="000000"/>
              </w:rPr>
              <w:t>White</w:t>
            </w:r>
          </w:p>
        </w:tc>
        <w:tc>
          <w:tcPr>
            <w:tcW w:w="1589" w:type="dxa"/>
            <w:vAlign w:val="bottom"/>
          </w:tcPr>
          <w:p w14:paraId="44FA0CBF" w14:textId="77777777" w:rsidR="00BB5584" w:rsidRDefault="00506586">
            <w:pPr>
              <w:spacing w:beforeAutospacing="1" w:afterAutospacing="1"/>
              <w:jc w:val="right"/>
            </w:pPr>
            <w:r>
              <w:rPr>
                <w:color w:val="000000"/>
              </w:rPr>
              <w:t>0</w:t>
            </w:r>
          </w:p>
        </w:tc>
        <w:tc>
          <w:tcPr>
            <w:tcW w:w="1589" w:type="dxa"/>
            <w:vAlign w:val="bottom"/>
          </w:tcPr>
          <w:p w14:paraId="47C7C497" w14:textId="77777777" w:rsidR="00BB5584" w:rsidRDefault="00506586">
            <w:pPr>
              <w:spacing w:beforeAutospacing="1" w:afterAutospacing="1"/>
              <w:jc w:val="right"/>
            </w:pPr>
            <w:r>
              <w:rPr>
                <w:color w:val="000000"/>
              </w:rPr>
              <w:t>0</w:t>
            </w:r>
          </w:p>
        </w:tc>
      </w:tr>
      <w:tr w:rsidR="00BB5584" w14:paraId="70B0EE8B" w14:textId="77777777">
        <w:trPr>
          <w:cantSplit/>
        </w:trPr>
        <w:tc>
          <w:tcPr>
            <w:tcW w:w="4821" w:type="dxa"/>
            <w:vAlign w:val="bottom"/>
          </w:tcPr>
          <w:p w14:paraId="515CF5AF" w14:textId="77777777" w:rsidR="00BB5584" w:rsidRDefault="00506586">
            <w:pPr>
              <w:spacing w:beforeAutospacing="1" w:afterAutospacing="1"/>
            </w:pPr>
            <w:r>
              <w:rPr>
                <w:color w:val="000000"/>
              </w:rPr>
              <w:t>Black or African American</w:t>
            </w:r>
          </w:p>
        </w:tc>
        <w:tc>
          <w:tcPr>
            <w:tcW w:w="1589" w:type="dxa"/>
            <w:vAlign w:val="bottom"/>
          </w:tcPr>
          <w:p w14:paraId="764A28B7" w14:textId="77777777" w:rsidR="00BB5584" w:rsidRDefault="00506586">
            <w:pPr>
              <w:spacing w:beforeAutospacing="1" w:afterAutospacing="1"/>
              <w:jc w:val="right"/>
            </w:pPr>
            <w:r>
              <w:rPr>
                <w:color w:val="000000"/>
              </w:rPr>
              <w:t>17</w:t>
            </w:r>
          </w:p>
        </w:tc>
        <w:tc>
          <w:tcPr>
            <w:tcW w:w="1589" w:type="dxa"/>
            <w:vAlign w:val="bottom"/>
          </w:tcPr>
          <w:p w14:paraId="1608F523" w14:textId="77777777" w:rsidR="00BB5584" w:rsidRDefault="00506586">
            <w:pPr>
              <w:spacing w:beforeAutospacing="1" w:afterAutospacing="1"/>
              <w:jc w:val="right"/>
            </w:pPr>
            <w:r>
              <w:rPr>
                <w:color w:val="000000"/>
              </w:rPr>
              <w:t>0</w:t>
            </w:r>
          </w:p>
        </w:tc>
      </w:tr>
      <w:tr w:rsidR="00BB5584" w14:paraId="4E4F67D3" w14:textId="77777777">
        <w:trPr>
          <w:cantSplit/>
        </w:trPr>
        <w:tc>
          <w:tcPr>
            <w:tcW w:w="4821" w:type="dxa"/>
            <w:vAlign w:val="bottom"/>
          </w:tcPr>
          <w:p w14:paraId="4EBC387E" w14:textId="77777777" w:rsidR="00BB5584" w:rsidRDefault="00506586">
            <w:pPr>
              <w:spacing w:beforeAutospacing="1" w:afterAutospacing="1"/>
            </w:pPr>
            <w:r>
              <w:rPr>
                <w:color w:val="000000"/>
              </w:rPr>
              <w:t>Asian</w:t>
            </w:r>
          </w:p>
        </w:tc>
        <w:tc>
          <w:tcPr>
            <w:tcW w:w="1589" w:type="dxa"/>
            <w:vAlign w:val="bottom"/>
          </w:tcPr>
          <w:p w14:paraId="25D00621" w14:textId="77777777" w:rsidR="00BB5584" w:rsidRDefault="00506586">
            <w:pPr>
              <w:spacing w:beforeAutospacing="1" w:afterAutospacing="1"/>
              <w:jc w:val="right"/>
            </w:pPr>
            <w:r>
              <w:rPr>
                <w:color w:val="000000"/>
              </w:rPr>
              <w:t>0</w:t>
            </w:r>
          </w:p>
        </w:tc>
        <w:tc>
          <w:tcPr>
            <w:tcW w:w="1589" w:type="dxa"/>
            <w:vAlign w:val="bottom"/>
          </w:tcPr>
          <w:p w14:paraId="3887D6FD" w14:textId="77777777" w:rsidR="00BB5584" w:rsidRDefault="00506586">
            <w:pPr>
              <w:spacing w:beforeAutospacing="1" w:afterAutospacing="1"/>
              <w:jc w:val="right"/>
            </w:pPr>
            <w:r>
              <w:rPr>
                <w:color w:val="000000"/>
              </w:rPr>
              <w:t>0</w:t>
            </w:r>
          </w:p>
        </w:tc>
      </w:tr>
      <w:tr w:rsidR="00BB5584" w14:paraId="2F0E66C7" w14:textId="77777777">
        <w:trPr>
          <w:cantSplit/>
        </w:trPr>
        <w:tc>
          <w:tcPr>
            <w:tcW w:w="4821" w:type="dxa"/>
            <w:vAlign w:val="bottom"/>
          </w:tcPr>
          <w:p w14:paraId="574EE12B" w14:textId="77777777" w:rsidR="00BB5584" w:rsidRDefault="00506586">
            <w:pPr>
              <w:spacing w:beforeAutospacing="1" w:afterAutospacing="1"/>
            </w:pPr>
            <w:r>
              <w:rPr>
                <w:color w:val="000000"/>
              </w:rPr>
              <w:t>American Indian or American Native</w:t>
            </w:r>
          </w:p>
        </w:tc>
        <w:tc>
          <w:tcPr>
            <w:tcW w:w="1589" w:type="dxa"/>
            <w:vAlign w:val="bottom"/>
          </w:tcPr>
          <w:p w14:paraId="08210E75" w14:textId="77777777" w:rsidR="00BB5584" w:rsidRDefault="00506586">
            <w:pPr>
              <w:spacing w:beforeAutospacing="1" w:afterAutospacing="1"/>
              <w:jc w:val="right"/>
            </w:pPr>
            <w:r>
              <w:rPr>
                <w:color w:val="000000"/>
              </w:rPr>
              <w:t>0</w:t>
            </w:r>
          </w:p>
        </w:tc>
        <w:tc>
          <w:tcPr>
            <w:tcW w:w="1589" w:type="dxa"/>
            <w:vAlign w:val="bottom"/>
          </w:tcPr>
          <w:p w14:paraId="77345E31" w14:textId="77777777" w:rsidR="00BB5584" w:rsidRDefault="00506586">
            <w:pPr>
              <w:spacing w:beforeAutospacing="1" w:afterAutospacing="1"/>
              <w:jc w:val="right"/>
            </w:pPr>
            <w:r>
              <w:rPr>
                <w:color w:val="000000"/>
              </w:rPr>
              <w:t>0</w:t>
            </w:r>
          </w:p>
        </w:tc>
      </w:tr>
      <w:tr w:rsidR="00BB5584" w14:paraId="35031867" w14:textId="77777777">
        <w:trPr>
          <w:cantSplit/>
        </w:trPr>
        <w:tc>
          <w:tcPr>
            <w:tcW w:w="4821" w:type="dxa"/>
            <w:vAlign w:val="bottom"/>
          </w:tcPr>
          <w:p w14:paraId="5689A633" w14:textId="77777777" w:rsidR="00BB5584" w:rsidRDefault="00506586">
            <w:pPr>
              <w:spacing w:beforeAutospacing="1" w:afterAutospacing="1"/>
            </w:pPr>
            <w:r>
              <w:rPr>
                <w:color w:val="000000"/>
              </w:rPr>
              <w:t>Native Hawaiian or Other Pacific Islander</w:t>
            </w:r>
          </w:p>
        </w:tc>
        <w:tc>
          <w:tcPr>
            <w:tcW w:w="1589" w:type="dxa"/>
            <w:vAlign w:val="bottom"/>
          </w:tcPr>
          <w:p w14:paraId="79B9DE6C" w14:textId="77777777" w:rsidR="00BB5584" w:rsidRDefault="00506586">
            <w:pPr>
              <w:spacing w:beforeAutospacing="1" w:afterAutospacing="1"/>
              <w:jc w:val="right"/>
            </w:pPr>
            <w:r>
              <w:rPr>
                <w:color w:val="000000"/>
              </w:rPr>
              <w:t>0</w:t>
            </w:r>
          </w:p>
        </w:tc>
        <w:tc>
          <w:tcPr>
            <w:tcW w:w="1589" w:type="dxa"/>
            <w:vAlign w:val="bottom"/>
          </w:tcPr>
          <w:p w14:paraId="6A96C4A7" w14:textId="77777777" w:rsidR="00BB5584" w:rsidRDefault="00506586">
            <w:pPr>
              <w:spacing w:beforeAutospacing="1" w:afterAutospacing="1"/>
              <w:jc w:val="right"/>
            </w:pPr>
            <w:r>
              <w:rPr>
                <w:color w:val="000000"/>
              </w:rPr>
              <w:t>0</w:t>
            </w:r>
          </w:p>
        </w:tc>
      </w:tr>
    </w:tbl>
    <w:p w14:paraId="52CC0A2C" w14:textId="77777777" w:rsidR="00BB5584" w:rsidRDefault="00BB5584">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BB5584" w14:paraId="5B670091" w14:textId="77777777">
        <w:trPr>
          <w:cantSplit/>
          <w:hidden/>
        </w:trPr>
        <w:tc>
          <w:tcPr>
            <w:tcW w:w="3009" w:type="pct"/>
          </w:tcPr>
          <w:p w14:paraId="78AF2341" w14:textId="77777777" w:rsidR="00BB5584" w:rsidRDefault="00BB5584">
            <w:pPr>
              <w:keepNext/>
              <w:widowControl w:val="0"/>
              <w:spacing w:after="0" w:line="240" w:lineRule="auto"/>
              <w:rPr>
                <w:vanish/>
              </w:rPr>
            </w:pPr>
          </w:p>
        </w:tc>
        <w:tc>
          <w:tcPr>
            <w:tcW w:w="992" w:type="pct"/>
          </w:tcPr>
          <w:p w14:paraId="71E87CAE" w14:textId="77777777" w:rsidR="00BB5584" w:rsidRDefault="00BB5584">
            <w:pPr>
              <w:keepNext/>
              <w:widowControl w:val="0"/>
              <w:spacing w:after="0" w:line="240" w:lineRule="auto"/>
              <w:jc w:val="center"/>
              <w:rPr>
                <w:b/>
                <w:vanish/>
              </w:rPr>
            </w:pPr>
          </w:p>
        </w:tc>
        <w:tc>
          <w:tcPr>
            <w:tcW w:w="992" w:type="pct"/>
          </w:tcPr>
          <w:p w14:paraId="7F041A04" w14:textId="77777777" w:rsidR="00BB5584" w:rsidRDefault="00BB5584">
            <w:pPr>
              <w:keepNext/>
              <w:widowControl w:val="0"/>
              <w:spacing w:after="0" w:line="240" w:lineRule="auto"/>
              <w:jc w:val="center"/>
              <w:rPr>
                <w:b/>
                <w:vanish/>
              </w:rPr>
            </w:pPr>
          </w:p>
        </w:tc>
      </w:tr>
      <w:tr w:rsidR="00BB5584" w14:paraId="6C753871" w14:textId="77777777">
        <w:trPr>
          <w:cantSplit/>
        </w:trPr>
        <w:tc>
          <w:tcPr>
            <w:tcW w:w="4821" w:type="dxa"/>
            <w:vAlign w:val="bottom"/>
          </w:tcPr>
          <w:p w14:paraId="198D90EC" w14:textId="77777777" w:rsidR="00BB5584" w:rsidRDefault="00506586">
            <w:pPr>
              <w:spacing w:beforeAutospacing="1" w:afterAutospacing="1"/>
            </w:pPr>
            <w:r>
              <w:rPr>
                <w:b/>
                <w:color w:val="000000"/>
              </w:rPr>
              <w:t>Total</w:t>
            </w:r>
          </w:p>
        </w:tc>
        <w:tc>
          <w:tcPr>
            <w:tcW w:w="1589" w:type="dxa"/>
            <w:vAlign w:val="bottom"/>
          </w:tcPr>
          <w:p w14:paraId="66FD63D5" w14:textId="77777777" w:rsidR="00BB5584" w:rsidRDefault="00506586">
            <w:pPr>
              <w:spacing w:beforeAutospacing="1" w:afterAutospacing="1"/>
              <w:jc w:val="right"/>
            </w:pPr>
            <w:r>
              <w:rPr>
                <w:b/>
                <w:color w:val="000000"/>
              </w:rPr>
              <w:t>17</w:t>
            </w:r>
          </w:p>
        </w:tc>
        <w:tc>
          <w:tcPr>
            <w:tcW w:w="1589" w:type="dxa"/>
            <w:vAlign w:val="bottom"/>
          </w:tcPr>
          <w:p w14:paraId="21EBC1C4" w14:textId="77777777" w:rsidR="00BB5584" w:rsidRDefault="00506586">
            <w:pPr>
              <w:spacing w:beforeAutospacing="1" w:afterAutospacing="1"/>
              <w:jc w:val="right"/>
            </w:pPr>
            <w:r>
              <w:rPr>
                <w:b/>
                <w:color w:val="000000"/>
              </w:rPr>
              <w:t>0</w:t>
            </w:r>
          </w:p>
        </w:tc>
      </w:tr>
    </w:tbl>
    <w:p w14:paraId="680348C0" w14:textId="77777777" w:rsidR="00BB5584" w:rsidRDefault="00BB5584">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BB5584" w14:paraId="0529C56D" w14:textId="77777777">
        <w:trPr>
          <w:cantSplit/>
          <w:hidden/>
        </w:trPr>
        <w:tc>
          <w:tcPr>
            <w:tcW w:w="3009" w:type="pct"/>
          </w:tcPr>
          <w:p w14:paraId="610AD7C6" w14:textId="77777777" w:rsidR="00BB5584" w:rsidRDefault="00BB5584">
            <w:pPr>
              <w:keepNext/>
              <w:widowControl w:val="0"/>
              <w:spacing w:after="0" w:line="240" w:lineRule="auto"/>
              <w:rPr>
                <w:vanish/>
              </w:rPr>
            </w:pPr>
          </w:p>
        </w:tc>
        <w:tc>
          <w:tcPr>
            <w:tcW w:w="992" w:type="pct"/>
          </w:tcPr>
          <w:p w14:paraId="7804A197" w14:textId="77777777" w:rsidR="00BB5584" w:rsidRDefault="00BB5584">
            <w:pPr>
              <w:keepNext/>
              <w:widowControl w:val="0"/>
              <w:spacing w:after="0" w:line="240" w:lineRule="auto"/>
              <w:jc w:val="center"/>
              <w:rPr>
                <w:b/>
                <w:vanish/>
              </w:rPr>
            </w:pPr>
          </w:p>
        </w:tc>
        <w:tc>
          <w:tcPr>
            <w:tcW w:w="992" w:type="pct"/>
          </w:tcPr>
          <w:p w14:paraId="64B815D0" w14:textId="77777777" w:rsidR="00BB5584" w:rsidRDefault="00BB5584">
            <w:pPr>
              <w:keepNext/>
              <w:widowControl w:val="0"/>
              <w:spacing w:after="0" w:line="240" w:lineRule="auto"/>
              <w:jc w:val="center"/>
              <w:rPr>
                <w:b/>
                <w:vanish/>
              </w:rPr>
            </w:pPr>
          </w:p>
        </w:tc>
      </w:tr>
      <w:tr w:rsidR="00BB5584" w14:paraId="79C4E48C" w14:textId="77777777">
        <w:trPr>
          <w:cantSplit/>
        </w:trPr>
        <w:tc>
          <w:tcPr>
            <w:tcW w:w="4821" w:type="dxa"/>
            <w:vAlign w:val="bottom"/>
          </w:tcPr>
          <w:p w14:paraId="2E87998D" w14:textId="77777777" w:rsidR="00BB5584" w:rsidRDefault="00506586">
            <w:pPr>
              <w:spacing w:beforeAutospacing="1" w:afterAutospacing="1"/>
            </w:pPr>
            <w:r>
              <w:rPr>
                <w:color w:val="000000"/>
              </w:rPr>
              <w:t>Hispanic</w:t>
            </w:r>
          </w:p>
        </w:tc>
        <w:tc>
          <w:tcPr>
            <w:tcW w:w="1589" w:type="dxa"/>
            <w:vAlign w:val="bottom"/>
          </w:tcPr>
          <w:p w14:paraId="231A7D7B" w14:textId="77777777" w:rsidR="00BB5584" w:rsidRDefault="00506586">
            <w:pPr>
              <w:spacing w:beforeAutospacing="1" w:afterAutospacing="1"/>
              <w:jc w:val="right"/>
            </w:pPr>
            <w:r>
              <w:rPr>
                <w:color w:val="000000"/>
              </w:rPr>
              <w:t>0</w:t>
            </w:r>
          </w:p>
        </w:tc>
        <w:tc>
          <w:tcPr>
            <w:tcW w:w="1589" w:type="dxa"/>
            <w:vAlign w:val="bottom"/>
          </w:tcPr>
          <w:p w14:paraId="4A4CA78F" w14:textId="77777777" w:rsidR="00BB5584" w:rsidRDefault="00506586">
            <w:pPr>
              <w:spacing w:beforeAutospacing="1" w:afterAutospacing="1"/>
              <w:jc w:val="right"/>
            </w:pPr>
            <w:r>
              <w:rPr>
                <w:color w:val="000000"/>
              </w:rPr>
              <w:t>0</w:t>
            </w:r>
          </w:p>
        </w:tc>
      </w:tr>
      <w:tr w:rsidR="00BB5584" w14:paraId="0AADF382" w14:textId="77777777">
        <w:trPr>
          <w:cantSplit/>
        </w:trPr>
        <w:tc>
          <w:tcPr>
            <w:tcW w:w="4821" w:type="dxa"/>
            <w:vAlign w:val="bottom"/>
          </w:tcPr>
          <w:p w14:paraId="1180D9A1" w14:textId="77777777" w:rsidR="00BB5584" w:rsidRDefault="00506586">
            <w:pPr>
              <w:spacing w:beforeAutospacing="1" w:afterAutospacing="1"/>
            </w:pPr>
            <w:r>
              <w:rPr>
                <w:color w:val="000000"/>
              </w:rPr>
              <w:t>Not Hispanic</w:t>
            </w:r>
          </w:p>
        </w:tc>
        <w:tc>
          <w:tcPr>
            <w:tcW w:w="1589" w:type="dxa"/>
            <w:vAlign w:val="bottom"/>
          </w:tcPr>
          <w:p w14:paraId="1729B841" w14:textId="77777777" w:rsidR="00BB5584" w:rsidRDefault="00506586">
            <w:pPr>
              <w:spacing w:beforeAutospacing="1" w:afterAutospacing="1"/>
              <w:jc w:val="right"/>
            </w:pPr>
            <w:r>
              <w:rPr>
                <w:color w:val="000000"/>
              </w:rPr>
              <w:t>0</w:t>
            </w:r>
          </w:p>
        </w:tc>
        <w:tc>
          <w:tcPr>
            <w:tcW w:w="1589" w:type="dxa"/>
            <w:vAlign w:val="bottom"/>
          </w:tcPr>
          <w:p w14:paraId="368E4305" w14:textId="77777777" w:rsidR="00BB5584" w:rsidRDefault="00506586">
            <w:pPr>
              <w:spacing w:beforeAutospacing="1" w:afterAutospacing="1"/>
              <w:jc w:val="right"/>
            </w:pPr>
            <w:r>
              <w:rPr>
                <w:color w:val="000000"/>
              </w:rPr>
              <w:t>0</w:t>
            </w:r>
          </w:p>
        </w:tc>
      </w:tr>
    </w:tbl>
    <w:p w14:paraId="4E6369CA" w14:textId="77777777" w:rsidR="00BB5584" w:rsidRDefault="00BB5584">
      <w:pPr>
        <w:pStyle w:val="NoSpacing"/>
        <w:rPr>
          <w:vanish/>
        </w:rPr>
      </w:pPr>
    </w:p>
    <w:p w14:paraId="56DE40A0" w14:textId="77777777" w:rsidR="00BB5584" w:rsidRDefault="00BB5584">
      <w:pPr>
        <w:pStyle w:val="NoSpacing"/>
        <w:rPr>
          <w:vanish/>
        </w:rPr>
      </w:pPr>
    </w:p>
    <w:p w14:paraId="27621697" w14:textId="77777777" w:rsidR="00BB5584" w:rsidRDefault="00BB5584">
      <w:pPr>
        <w:pStyle w:val="NoSpacing"/>
        <w:rPr>
          <w:vanish/>
        </w:rPr>
      </w:pPr>
    </w:p>
    <w:p w14:paraId="790957DF" w14:textId="77777777" w:rsidR="00BB5584" w:rsidRDefault="00BB5584">
      <w:pPr>
        <w:pStyle w:val="NoSpacing"/>
        <w:rPr>
          <w:vanish/>
        </w:rPr>
      </w:pPr>
    </w:p>
    <w:p w14:paraId="767D0EFA" w14:textId="77777777" w:rsidR="00BB5584" w:rsidRDefault="00BB5584">
      <w:pPr>
        <w:pStyle w:val="NoSpacing"/>
        <w:rPr>
          <w:vanish/>
        </w:rPr>
      </w:pPr>
    </w:p>
    <w:p w14:paraId="36B48E86" w14:textId="77777777" w:rsidR="00BB5584" w:rsidRDefault="00BB5584">
      <w:pPr>
        <w:pStyle w:val="NoSpacing"/>
      </w:pPr>
    </w:p>
    <w:p w14:paraId="47CC6E57" w14:textId="77777777" w:rsidR="00BB5584" w:rsidRDefault="00BB5584">
      <w:pPr>
        <w:pStyle w:val="NoSpacing"/>
        <w:rPr>
          <w:vanish/>
        </w:rPr>
      </w:pPr>
    </w:p>
    <w:p w14:paraId="08B1DA46" w14:textId="77777777" w:rsidR="00BB5584" w:rsidRDefault="00BB5584">
      <w:pPr>
        <w:pStyle w:val="NoSpacing"/>
        <w:rPr>
          <w:vanish/>
        </w:rPr>
      </w:pPr>
    </w:p>
    <w:p w14:paraId="2A0F5AAA" w14:textId="77777777" w:rsidR="00BB5584" w:rsidRDefault="00BB5584">
      <w:pPr>
        <w:pStyle w:val="NoSpacing"/>
        <w:rPr>
          <w:vanish/>
        </w:rPr>
      </w:pPr>
    </w:p>
    <w:p w14:paraId="2A15FE2E" w14:textId="77777777" w:rsidR="00BB5584" w:rsidRDefault="00BB5584">
      <w:pPr>
        <w:pStyle w:val="NoSpacing"/>
        <w:rPr>
          <w:vanish/>
        </w:rPr>
      </w:pPr>
    </w:p>
    <w:p w14:paraId="28C4FD0F" w14:textId="77777777" w:rsidR="00BB5584" w:rsidRDefault="00BB5584">
      <w:pPr>
        <w:pStyle w:val="NoSpacing"/>
        <w:rPr>
          <w:vanish/>
        </w:rPr>
      </w:pPr>
    </w:p>
    <w:p w14:paraId="282CF3D4" w14:textId="77777777" w:rsidR="00BB5584" w:rsidRDefault="00BB5584">
      <w:pPr>
        <w:pStyle w:val="NoSpacing"/>
        <w:rPr>
          <w:vanish/>
        </w:rPr>
      </w:pPr>
    </w:p>
    <w:p w14:paraId="5F92DB83" w14:textId="77777777" w:rsidR="00BB5584" w:rsidRDefault="00BB5584">
      <w:pPr>
        <w:pStyle w:val="NoSpacing"/>
        <w:rPr>
          <w:vanish/>
        </w:rPr>
      </w:pPr>
    </w:p>
    <w:p w14:paraId="1FFC2614" w14:textId="77777777" w:rsidR="00BB5584" w:rsidRDefault="00BB5584">
      <w:pPr>
        <w:pStyle w:val="NoSpacing"/>
        <w:rPr>
          <w:vanish/>
        </w:rPr>
      </w:pPr>
    </w:p>
    <w:p w14:paraId="274D9FEA" w14:textId="77777777" w:rsidR="00BB5584" w:rsidRDefault="00BB5584">
      <w:pPr>
        <w:pStyle w:val="NoSpacing"/>
        <w:rPr>
          <w:vanish/>
        </w:rPr>
      </w:pPr>
    </w:p>
    <w:p w14:paraId="67FC94E5" w14:textId="77777777" w:rsidR="00BB5584" w:rsidRDefault="00BB5584">
      <w:pPr>
        <w:pStyle w:val="NoSpacing"/>
        <w:rPr>
          <w:vanish/>
        </w:rPr>
      </w:pPr>
    </w:p>
    <w:p w14:paraId="5FE8FA91" w14:textId="77777777" w:rsidR="00BB5584" w:rsidRDefault="00BB5584">
      <w:pPr>
        <w:keepNext/>
        <w:widowControl w:val="0"/>
        <w:spacing w:after="0" w:line="240" w:lineRule="auto"/>
        <w:rPr>
          <w:b/>
          <w:vanish/>
          <w:sz w:val="24"/>
          <w:szCs w:val="24"/>
        </w:rPr>
      </w:pPr>
    </w:p>
    <w:p w14:paraId="07E183AA" w14:textId="77777777" w:rsidR="00BB5584" w:rsidRDefault="00BB5584">
      <w:pPr>
        <w:pStyle w:val="NoSpacing"/>
        <w:rPr>
          <w:vanish/>
        </w:rPr>
      </w:pPr>
    </w:p>
    <w:p w14:paraId="7184D551" w14:textId="77777777" w:rsidR="00BB5584" w:rsidRDefault="00BB5584">
      <w:pPr>
        <w:pStyle w:val="NoSpacing"/>
        <w:rPr>
          <w:vanish/>
        </w:rPr>
      </w:pPr>
    </w:p>
    <w:p w14:paraId="0FF865FC" w14:textId="77777777" w:rsidR="00BB5584" w:rsidRDefault="00BB5584">
      <w:pPr>
        <w:pStyle w:val="NoSpacing"/>
        <w:rPr>
          <w:vanish/>
        </w:rPr>
      </w:pPr>
    </w:p>
    <w:p w14:paraId="476D3B34" w14:textId="77777777" w:rsidR="00BB5584" w:rsidRDefault="00BB5584">
      <w:pPr>
        <w:pStyle w:val="NoSpacing"/>
        <w:rPr>
          <w:vanish/>
        </w:rPr>
      </w:pPr>
    </w:p>
    <w:p w14:paraId="44851EBF" w14:textId="77777777" w:rsidR="00BB5584" w:rsidRDefault="00BB5584">
      <w:pPr>
        <w:pStyle w:val="NoSpacing"/>
        <w:rPr>
          <w:vanish/>
        </w:rPr>
      </w:pPr>
    </w:p>
    <w:p w14:paraId="41F94B98" w14:textId="77777777" w:rsidR="00BB5584" w:rsidRDefault="00BB5584">
      <w:pPr>
        <w:pStyle w:val="NoSpacing"/>
        <w:rPr>
          <w:vanish/>
        </w:rPr>
      </w:pPr>
    </w:p>
    <w:p w14:paraId="13D5E7A1" w14:textId="77777777" w:rsidR="00BB5584" w:rsidRDefault="00BB5584">
      <w:pPr>
        <w:pStyle w:val="NoSpacing"/>
        <w:rPr>
          <w:vanish/>
        </w:rPr>
      </w:pPr>
    </w:p>
    <w:p w14:paraId="1023C410" w14:textId="77777777" w:rsidR="00BB5584" w:rsidRDefault="00BB5584">
      <w:pPr>
        <w:pStyle w:val="NoSpacing"/>
        <w:rPr>
          <w:vanish/>
        </w:rPr>
      </w:pPr>
    </w:p>
    <w:p w14:paraId="4725529C" w14:textId="77777777" w:rsidR="00BB5584" w:rsidRDefault="00BB5584">
      <w:pPr>
        <w:pStyle w:val="NoSpacing"/>
        <w:rPr>
          <w:vanish/>
        </w:rPr>
      </w:pPr>
    </w:p>
    <w:p w14:paraId="7DDEF85E" w14:textId="77777777" w:rsidR="00BB5584" w:rsidRDefault="00BB5584">
      <w:pPr>
        <w:pStyle w:val="NoSpacing"/>
        <w:rPr>
          <w:vanish/>
        </w:rPr>
      </w:pPr>
    </w:p>
    <w:p w14:paraId="6DEB3C36" w14:textId="77777777" w:rsidR="00BB5584" w:rsidRDefault="00BB5584">
      <w:pPr>
        <w:pStyle w:val="NoSpacing"/>
        <w:rPr>
          <w:vanish/>
        </w:rPr>
      </w:pPr>
    </w:p>
    <w:p w14:paraId="7471CC70" w14:textId="77777777" w:rsidR="00BB5584" w:rsidRDefault="00BB5584">
      <w:pPr>
        <w:pStyle w:val="NoSpacing"/>
        <w:rPr>
          <w:vanish/>
        </w:rPr>
      </w:pPr>
    </w:p>
    <w:p w14:paraId="4CBCE963" w14:textId="77777777" w:rsidR="00BB5584" w:rsidRDefault="00BB5584">
      <w:pPr>
        <w:pStyle w:val="NoSpacing"/>
        <w:rPr>
          <w:vanish/>
        </w:rPr>
      </w:pPr>
    </w:p>
    <w:p w14:paraId="065248D2" w14:textId="77777777" w:rsidR="00BB5584" w:rsidRDefault="00BB5584">
      <w:pPr>
        <w:pStyle w:val="NoSpacing"/>
        <w:rPr>
          <w:vanish/>
        </w:rPr>
      </w:pPr>
    </w:p>
    <w:p w14:paraId="1DC04934" w14:textId="77777777" w:rsidR="00BB5584" w:rsidRDefault="00BB5584">
      <w:pPr>
        <w:pStyle w:val="NoSpacing"/>
        <w:rPr>
          <w:vanish/>
        </w:rPr>
      </w:pPr>
    </w:p>
    <w:p w14:paraId="74C50A1B" w14:textId="77777777" w:rsidR="00BB5584" w:rsidRDefault="00BB5584">
      <w:pPr>
        <w:pStyle w:val="NoSpacing"/>
        <w:rPr>
          <w:vanish/>
        </w:rPr>
      </w:pPr>
    </w:p>
    <w:p w14:paraId="4621B32E" w14:textId="77777777" w:rsidR="00BB5584" w:rsidRDefault="00BB5584">
      <w:pPr>
        <w:pStyle w:val="NoSpacing"/>
        <w:rPr>
          <w:vanish/>
        </w:rPr>
      </w:pPr>
    </w:p>
    <w:p w14:paraId="15E3D1D7" w14:textId="77777777" w:rsidR="00BB5584" w:rsidRDefault="00BB5584">
      <w:pPr>
        <w:pStyle w:val="NoSpacing"/>
        <w:rPr>
          <w:vanish/>
        </w:rPr>
      </w:pPr>
    </w:p>
    <w:p w14:paraId="5FF5EEAF" w14:textId="77777777" w:rsidR="00BB5584" w:rsidRDefault="00BB5584">
      <w:pPr>
        <w:pStyle w:val="NoSpacing"/>
        <w:rPr>
          <w:vanish/>
        </w:rPr>
      </w:pPr>
    </w:p>
    <w:p w14:paraId="78D297A5" w14:textId="77777777" w:rsidR="00BB5584" w:rsidRDefault="00506586">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4210A09C" w14:textId="77777777" w:rsidR="00BB5584" w:rsidRDefault="00BB5584">
      <w:pPr>
        <w:widowControl w:val="0"/>
        <w:rPr>
          <w:b/>
          <w:sz w:val="24"/>
          <w:szCs w:val="24"/>
        </w:rPr>
      </w:pPr>
    </w:p>
    <w:p w14:paraId="12EE4A54" w14:textId="77777777" w:rsidR="00BB5584" w:rsidRDefault="00506586">
      <w:pPr>
        <w:widowControl w:val="0"/>
        <w:rPr>
          <w:b/>
          <w:sz w:val="24"/>
          <w:szCs w:val="24"/>
        </w:rPr>
      </w:pPr>
      <w:r>
        <w:rPr>
          <w:b/>
          <w:sz w:val="24"/>
          <w:szCs w:val="24"/>
        </w:rPr>
        <w:t>Narrative</w:t>
      </w:r>
    </w:p>
    <w:p w14:paraId="5AA64132" w14:textId="77777777" w:rsidR="00BB5584" w:rsidRDefault="00506586">
      <w:pPr>
        <w:widowControl w:val="0"/>
        <w:spacing w:beforeAutospacing="1" w:afterAutospacing="1"/>
      </w:pPr>
      <w:r>
        <w:t>The majority of the City's activities meet the low-moderate income area benefit and do not assist individual families. However, the City's Critical Home Repair Program a</w:t>
      </w:r>
      <w:r>
        <w:t>nd First Time Home Buyers Programs assist individual families. </w:t>
      </w:r>
    </w:p>
    <w:p w14:paraId="371FFC59" w14:textId="77777777" w:rsidR="00BB5584" w:rsidRDefault="00BB5584">
      <w:pPr>
        <w:widowControl w:val="0"/>
      </w:pPr>
    </w:p>
    <w:p w14:paraId="6120AC5C" w14:textId="77777777" w:rsidR="00BB5584" w:rsidRDefault="00BB5584">
      <w:pPr>
        <w:sectPr w:rsidR="00BB5584">
          <w:pgSz w:w="12240" w:h="15840" w:code="1"/>
          <w:pgMar w:top="1440" w:right="1440" w:bottom="1440" w:left="1440" w:header="720" w:footer="720" w:gutter="0"/>
          <w:cols w:space="720"/>
          <w:docGrid w:linePitch="360"/>
        </w:sectPr>
      </w:pPr>
    </w:p>
    <w:bookmarkEnd w:id="0"/>
    <w:p w14:paraId="3D8130F2" w14:textId="77777777" w:rsidR="00BB5584" w:rsidRDefault="00506586">
      <w:pPr>
        <w:pStyle w:val="Heading2"/>
        <w:rPr>
          <w:rFonts w:ascii="Calibri" w:hAnsi="Calibri"/>
          <w:i w:val="0"/>
        </w:rPr>
      </w:pPr>
      <w:r>
        <w:rPr>
          <w:rFonts w:ascii="Calibri" w:hAnsi="Calibri"/>
          <w:i w:val="0"/>
        </w:rPr>
        <w:lastRenderedPageBreak/>
        <w:t>CR-15 - Resources and Investments 91.520(a)</w:t>
      </w:r>
    </w:p>
    <w:p w14:paraId="203F807E" w14:textId="77777777" w:rsidR="00BB5584" w:rsidRDefault="00506586">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BB5584" w14:paraId="2FC5AA3E" w14:textId="77777777">
        <w:trPr>
          <w:cantSplit/>
        </w:trPr>
        <w:tc>
          <w:tcPr>
            <w:tcW w:w="2394" w:type="dxa"/>
          </w:tcPr>
          <w:p w14:paraId="3F312DAD" w14:textId="77777777" w:rsidR="00BB5584" w:rsidRDefault="00506586">
            <w:pPr>
              <w:keepNext/>
              <w:widowControl w:val="0"/>
              <w:spacing w:after="0" w:line="240" w:lineRule="auto"/>
              <w:jc w:val="center"/>
              <w:rPr>
                <w:rFonts w:cs="Arial"/>
                <w:b/>
              </w:rPr>
            </w:pPr>
            <w:r>
              <w:rPr>
                <w:rFonts w:cs="Arial"/>
                <w:b/>
              </w:rPr>
              <w:t>Source of Funds</w:t>
            </w:r>
          </w:p>
        </w:tc>
        <w:tc>
          <w:tcPr>
            <w:tcW w:w="2394" w:type="dxa"/>
          </w:tcPr>
          <w:p w14:paraId="5CB21FC3" w14:textId="77777777" w:rsidR="00BB5584" w:rsidRDefault="00506586">
            <w:pPr>
              <w:keepNext/>
              <w:widowControl w:val="0"/>
              <w:spacing w:after="0" w:line="240" w:lineRule="auto"/>
              <w:jc w:val="center"/>
              <w:rPr>
                <w:rFonts w:cs="Arial"/>
                <w:b/>
              </w:rPr>
            </w:pPr>
            <w:r>
              <w:rPr>
                <w:rFonts w:cs="Arial"/>
                <w:b/>
              </w:rPr>
              <w:t>Source</w:t>
            </w:r>
          </w:p>
        </w:tc>
        <w:tc>
          <w:tcPr>
            <w:tcW w:w="2394" w:type="dxa"/>
          </w:tcPr>
          <w:p w14:paraId="3879547B" w14:textId="77777777" w:rsidR="00BB5584" w:rsidRDefault="00506586">
            <w:pPr>
              <w:keepNext/>
              <w:spacing w:after="0" w:line="240" w:lineRule="auto"/>
              <w:jc w:val="center"/>
              <w:rPr>
                <w:rFonts w:cs="Arial"/>
                <w:b/>
              </w:rPr>
            </w:pPr>
            <w:r>
              <w:rPr>
                <w:rFonts w:cs="Arial"/>
                <w:b/>
              </w:rPr>
              <w:t>Resources Made Available</w:t>
            </w:r>
          </w:p>
        </w:tc>
        <w:tc>
          <w:tcPr>
            <w:tcW w:w="2394" w:type="dxa"/>
          </w:tcPr>
          <w:p w14:paraId="21AAC7F4" w14:textId="77777777" w:rsidR="00BB5584" w:rsidRDefault="00506586">
            <w:pPr>
              <w:keepNext/>
              <w:widowControl w:val="0"/>
              <w:spacing w:after="0" w:line="240" w:lineRule="auto"/>
              <w:jc w:val="center"/>
              <w:rPr>
                <w:rFonts w:cs="Arial"/>
                <w:b/>
              </w:rPr>
            </w:pPr>
            <w:r>
              <w:rPr>
                <w:rFonts w:cs="Arial"/>
                <w:b/>
              </w:rPr>
              <w:t>Amount Expended During Program Year</w:t>
            </w:r>
          </w:p>
        </w:tc>
      </w:tr>
      <w:tr w:rsidR="00BB5584" w14:paraId="715FD7A6" w14:textId="77777777">
        <w:trPr>
          <w:cantSplit/>
        </w:trPr>
        <w:tc>
          <w:tcPr>
            <w:tcW w:w="0" w:type="auto"/>
            <w:vAlign w:val="bottom"/>
          </w:tcPr>
          <w:p w14:paraId="4D20D4C1" w14:textId="77777777" w:rsidR="00BB5584" w:rsidRDefault="00506586">
            <w:pPr>
              <w:spacing w:beforeAutospacing="1" w:afterAutospacing="1"/>
            </w:pPr>
            <w:r>
              <w:rPr>
                <w:color w:val="000000"/>
              </w:rPr>
              <w:t>CDBG</w:t>
            </w:r>
          </w:p>
        </w:tc>
        <w:tc>
          <w:tcPr>
            <w:tcW w:w="0" w:type="auto"/>
            <w:vAlign w:val="bottom"/>
          </w:tcPr>
          <w:p w14:paraId="7F8ECDD8" w14:textId="77777777" w:rsidR="00BB5584" w:rsidRDefault="00506586">
            <w:pPr>
              <w:spacing w:beforeAutospacing="1" w:afterAutospacing="1"/>
            </w:pPr>
            <w:r>
              <w:rPr>
                <w:color w:val="000000"/>
              </w:rPr>
              <w:t>public - federal</w:t>
            </w:r>
          </w:p>
        </w:tc>
        <w:tc>
          <w:tcPr>
            <w:tcW w:w="0" w:type="auto"/>
            <w:vAlign w:val="bottom"/>
          </w:tcPr>
          <w:p w14:paraId="247BE097" w14:textId="77777777" w:rsidR="00BB5584" w:rsidRDefault="00506586">
            <w:pPr>
              <w:spacing w:beforeAutospacing="1" w:afterAutospacing="1"/>
              <w:jc w:val="right"/>
            </w:pPr>
            <w:r>
              <w:rPr>
                <w:color w:val="000000"/>
              </w:rPr>
              <w:t>874,199</w:t>
            </w:r>
          </w:p>
        </w:tc>
        <w:tc>
          <w:tcPr>
            <w:tcW w:w="0" w:type="auto"/>
            <w:vAlign w:val="bottom"/>
          </w:tcPr>
          <w:p w14:paraId="3F63C3EB" w14:textId="77777777" w:rsidR="00BB5584" w:rsidRDefault="00506586">
            <w:pPr>
              <w:spacing w:beforeAutospacing="1" w:afterAutospacing="1"/>
              <w:jc w:val="right"/>
            </w:pPr>
            <w:r>
              <w:rPr>
                <w:color w:val="000000"/>
              </w:rPr>
              <w:t xml:space="preserve"> </w:t>
            </w:r>
          </w:p>
        </w:tc>
      </w:tr>
      <w:tr w:rsidR="00BB5584" w14:paraId="4F6624E0" w14:textId="77777777">
        <w:trPr>
          <w:cantSplit/>
        </w:trPr>
        <w:tc>
          <w:tcPr>
            <w:tcW w:w="0" w:type="auto"/>
            <w:vAlign w:val="bottom"/>
          </w:tcPr>
          <w:p w14:paraId="04E0EDE0" w14:textId="77777777" w:rsidR="00BB5584" w:rsidRDefault="00506586">
            <w:pPr>
              <w:spacing w:beforeAutospacing="1" w:afterAutospacing="1"/>
            </w:pPr>
            <w:r>
              <w:rPr>
                <w:color w:val="000000"/>
              </w:rPr>
              <w:t>HOME</w:t>
            </w:r>
          </w:p>
        </w:tc>
        <w:tc>
          <w:tcPr>
            <w:tcW w:w="0" w:type="auto"/>
            <w:vAlign w:val="bottom"/>
          </w:tcPr>
          <w:p w14:paraId="44125383" w14:textId="77777777" w:rsidR="00BB5584" w:rsidRDefault="00506586">
            <w:pPr>
              <w:spacing w:beforeAutospacing="1" w:afterAutospacing="1"/>
            </w:pPr>
            <w:r>
              <w:rPr>
                <w:color w:val="000000"/>
              </w:rPr>
              <w:t>public - federal</w:t>
            </w:r>
          </w:p>
        </w:tc>
        <w:tc>
          <w:tcPr>
            <w:tcW w:w="0" w:type="auto"/>
            <w:vAlign w:val="bottom"/>
          </w:tcPr>
          <w:p w14:paraId="0E1A97B8" w14:textId="77777777" w:rsidR="00BB5584" w:rsidRDefault="00506586">
            <w:pPr>
              <w:spacing w:beforeAutospacing="1" w:afterAutospacing="1"/>
              <w:jc w:val="right"/>
            </w:pPr>
            <w:r>
              <w:rPr>
                <w:color w:val="000000"/>
              </w:rPr>
              <w:t>366,401</w:t>
            </w:r>
          </w:p>
        </w:tc>
        <w:tc>
          <w:tcPr>
            <w:tcW w:w="0" w:type="auto"/>
            <w:vAlign w:val="bottom"/>
          </w:tcPr>
          <w:p w14:paraId="2D3B1A21" w14:textId="77777777" w:rsidR="00BB5584" w:rsidRDefault="00506586">
            <w:pPr>
              <w:spacing w:beforeAutospacing="1" w:afterAutospacing="1"/>
              <w:jc w:val="right"/>
            </w:pPr>
            <w:r>
              <w:rPr>
                <w:color w:val="000000"/>
              </w:rPr>
              <w:t xml:space="preserve"> </w:t>
            </w:r>
          </w:p>
        </w:tc>
      </w:tr>
    </w:tbl>
    <w:p w14:paraId="1CA18AC1"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14:paraId="7C54DEBC" w14:textId="77777777" w:rsidR="00BB5584" w:rsidRDefault="00BB5584">
      <w:pPr>
        <w:spacing w:after="0" w:line="240" w:lineRule="auto"/>
        <w:rPr>
          <w:b/>
          <w:sz w:val="24"/>
          <w:szCs w:val="24"/>
        </w:rPr>
      </w:pPr>
    </w:p>
    <w:p w14:paraId="5EF1BD38" w14:textId="77777777" w:rsidR="00BB5584" w:rsidRDefault="00506586">
      <w:pPr>
        <w:spacing w:after="0" w:line="240" w:lineRule="auto"/>
        <w:rPr>
          <w:b/>
          <w:sz w:val="24"/>
          <w:szCs w:val="24"/>
        </w:rPr>
      </w:pPr>
      <w:r>
        <w:rPr>
          <w:b/>
          <w:sz w:val="24"/>
          <w:szCs w:val="24"/>
        </w:rPr>
        <w:t>Narrative</w:t>
      </w:r>
    </w:p>
    <w:p w14:paraId="7AF4EEF9" w14:textId="77777777" w:rsidR="00BB5584" w:rsidRDefault="00BB5584">
      <w:pPr>
        <w:spacing w:after="0" w:line="240" w:lineRule="auto"/>
        <w:rPr>
          <w:rFonts w:cs="Arial"/>
        </w:rPr>
      </w:pPr>
    </w:p>
    <w:p w14:paraId="2180BA4C" w14:textId="77777777" w:rsidR="00BB5584" w:rsidRDefault="00BB5584">
      <w:pPr>
        <w:spacing w:after="0" w:line="240" w:lineRule="auto"/>
        <w:rPr>
          <w:b/>
          <w:sz w:val="24"/>
          <w:szCs w:val="24"/>
        </w:rPr>
      </w:pPr>
    </w:p>
    <w:p w14:paraId="6277C88E" w14:textId="77777777" w:rsidR="00BB5584" w:rsidRDefault="00506586">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42"/>
        <w:gridCol w:w="2342"/>
        <w:gridCol w:w="2343"/>
      </w:tblGrid>
      <w:tr w:rsidR="00BB5584" w14:paraId="31096B14" w14:textId="77777777">
        <w:trPr>
          <w:cantSplit/>
        </w:trPr>
        <w:tc>
          <w:tcPr>
            <w:tcW w:w="2394" w:type="dxa"/>
          </w:tcPr>
          <w:p w14:paraId="2855CC59" w14:textId="77777777" w:rsidR="00BB5584" w:rsidRDefault="00506586">
            <w:pPr>
              <w:keepNext/>
              <w:widowControl w:val="0"/>
              <w:spacing w:after="0" w:line="240" w:lineRule="auto"/>
              <w:jc w:val="center"/>
              <w:rPr>
                <w:rFonts w:cs="Arial"/>
                <w:b/>
              </w:rPr>
            </w:pPr>
            <w:r>
              <w:rPr>
                <w:rFonts w:cs="Arial"/>
                <w:b/>
              </w:rPr>
              <w:t>Target Area</w:t>
            </w:r>
          </w:p>
        </w:tc>
        <w:tc>
          <w:tcPr>
            <w:tcW w:w="2394" w:type="dxa"/>
          </w:tcPr>
          <w:p w14:paraId="7E8D4739" w14:textId="77777777" w:rsidR="00BB5584" w:rsidRDefault="00506586">
            <w:pPr>
              <w:keepNext/>
              <w:widowControl w:val="0"/>
              <w:spacing w:after="0" w:line="240" w:lineRule="auto"/>
              <w:jc w:val="center"/>
              <w:rPr>
                <w:rFonts w:cs="Arial"/>
                <w:b/>
              </w:rPr>
            </w:pPr>
            <w:r>
              <w:rPr>
                <w:rFonts w:cs="Arial"/>
                <w:b/>
              </w:rPr>
              <w:t>Planned Percentage of Allocation</w:t>
            </w:r>
          </w:p>
        </w:tc>
        <w:tc>
          <w:tcPr>
            <w:tcW w:w="2394" w:type="dxa"/>
          </w:tcPr>
          <w:p w14:paraId="0CF24E32" w14:textId="77777777" w:rsidR="00BB5584" w:rsidRDefault="00506586">
            <w:pPr>
              <w:keepNext/>
              <w:spacing w:after="0" w:line="240" w:lineRule="auto"/>
              <w:jc w:val="center"/>
              <w:rPr>
                <w:rFonts w:cs="Arial"/>
                <w:b/>
              </w:rPr>
            </w:pPr>
            <w:r>
              <w:rPr>
                <w:rFonts w:cs="Arial"/>
                <w:b/>
              </w:rPr>
              <w:t xml:space="preserve">Actual </w:t>
            </w:r>
            <w:r>
              <w:rPr>
                <w:rFonts w:cs="Arial"/>
                <w:b/>
              </w:rPr>
              <w:t>Percentage of Allocation</w:t>
            </w:r>
          </w:p>
        </w:tc>
        <w:tc>
          <w:tcPr>
            <w:tcW w:w="2394" w:type="dxa"/>
          </w:tcPr>
          <w:p w14:paraId="46AE8AA3" w14:textId="77777777" w:rsidR="00BB5584" w:rsidRDefault="00506586">
            <w:pPr>
              <w:keepNext/>
              <w:widowControl w:val="0"/>
              <w:spacing w:after="0" w:line="240" w:lineRule="auto"/>
              <w:jc w:val="center"/>
              <w:rPr>
                <w:rFonts w:cs="Arial"/>
                <w:b/>
              </w:rPr>
            </w:pPr>
            <w:r>
              <w:rPr>
                <w:rFonts w:cs="Arial"/>
                <w:b/>
              </w:rPr>
              <w:t>Narrative Description</w:t>
            </w:r>
          </w:p>
        </w:tc>
      </w:tr>
      <w:tr w:rsidR="00BB5584" w14:paraId="44858D71" w14:textId="77777777">
        <w:trPr>
          <w:cantSplit/>
        </w:trPr>
        <w:tc>
          <w:tcPr>
            <w:tcW w:w="0" w:type="auto"/>
            <w:vAlign w:val="bottom"/>
          </w:tcPr>
          <w:p w14:paraId="515DAC44" w14:textId="77777777" w:rsidR="00BB5584" w:rsidRDefault="00506586">
            <w:pPr>
              <w:spacing w:beforeAutospacing="1" w:afterAutospacing="1"/>
            </w:pPr>
            <w:r>
              <w:rPr>
                <w:color w:val="000000"/>
              </w:rPr>
              <w:t>City of Tyler</w:t>
            </w:r>
          </w:p>
        </w:tc>
        <w:tc>
          <w:tcPr>
            <w:tcW w:w="0" w:type="auto"/>
            <w:vAlign w:val="bottom"/>
          </w:tcPr>
          <w:p w14:paraId="11A689EB" w14:textId="77777777" w:rsidR="00BB5584" w:rsidRDefault="00506586">
            <w:pPr>
              <w:spacing w:beforeAutospacing="1" w:afterAutospacing="1"/>
            </w:pPr>
            <w:r>
              <w:rPr>
                <w:color w:val="000000"/>
              </w:rPr>
              <w:t>100</w:t>
            </w:r>
          </w:p>
        </w:tc>
        <w:tc>
          <w:tcPr>
            <w:tcW w:w="0" w:type="auto"/>
            <w:vAlign w:val="bottom"/>
          </w:tcPr>
          <w:p w14:paraId="3D05AE59" w14:textId="77777777" w:rsidR="00BB5584" w:rsidRDefault="00506586">
            <w:pPr>
              <w:spacing w:beforeAutospacing="1" w:afterAutospacing="1"/>
            </w:pPr>
            <w:r>
              <w:rPr>
                <w:color w:val="000000"/>
              </w:rPr>
              <w:t xml:space="preserve"> </w:t>
            </w:r>
          </w:p>
        </w:tc>
        <w:tc>
          <w:tcPr>
            <w:tcW w:w="0" w:type="auto"/>
            <w:vAlign w:val="bottom"/>
          </w:tcPr>
          <w:p w14:paraId="1DFE6C18" w14:textId="77777777" w:rsidR="00BB5584" w:rsidRDefault="00506586">
            <w:pPr>
              <w:spacing w:beforeAutospacing="1" w:afterAutospacing="1"/>
            </w:pPr>
            <w:r>
              <w:rPr>
                <w:color w:val="000000"/>
              </w:rPr>
              <w:t xml:space="preserve"> </w:t>
            </w:r>
          </w:p>
        </w:tc>
      </w:tr>
    </w:tbl>
    <w:p w14:paraId="528FEEC8"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14:paraId="76C85A7A" w14:textId="77777777" w:rsidR="00BB5584" w:rsidRDefault="00BB5584">
      <w:pPr>
        <w:keepNext/>
        <w:widowControl w:val="0"/>
        <w:spacing w:line="204" w:lineRule="auto"/>
        <w:rPr>
          <w:b/>
          <w:sz w:val="24"/>
          <w:szCs w:val="24"/>
        </w:rPr>
      </w:pPr>
    </w:p>
    <w:p w14:paraId="7F43E2C4" w14:textId="77777777" w:rsidR="00BB5584" w:rsidRDefault="00506586">
      <w:pPr>
        <w:widowControl w:val="0"/>
        <w:spacing w:line="204" w:lineRule="auto"/>
        <w:rPr>
          <w:b/>
          <w:sz w:val="24"/>
          <w:szCs w:val="24"/>
        </w:rPr>
      </w:pPr>
      <w:r>
        <w:rPr>
          <w:b/>
          <w:sz w:val="24"/>
          <w:szCs w:val="24"/>
        </w:rPr>
        <w:t>Narrative</w:t>
      </w:r>
    </w:p>
    <w:p w14:paraId="6A5F817F" w14:textId="77777777" w:rsidR="00BB5584" w:rsidRDefault="00BB5584">
      <w:pPr>
        <w:widowControl w:val="0"/>
        <w:spacing w:line="204" w:lineRule="auto"/>
        <w:rPr>
          <w:rFonts w:cs="Arial"/>
        </w:rPr>
      </w:pPr>
    </w:p>
    <w:p w14:paraId="6CF7CE8F" w14:textId="77777777" w:rsidR="00BB5584" w:rsidRDefault="00506586">
      <w:pPr>
        <w:pageBreakBefore/>
        <w:widowControl w:val="0"/>
        <w:spacing w:line="240" w:lineRule="auto"/>
        <w:rPr>
          <w:b/>
          <w:sz w:val="24"/>
          <w:szCs w:val="24"/>
        </w:rPr>
      </w:pPr>
      <w:r>
        <w:rPr>
          <w:b/>
          <w:sz w:val="24"/>
          <w:szCs w:val="24"/>
        </w:rPr>
        <w:lastRenderedPageBreak/>
        <w:t>Leveraging</w:t>
      </w:r>
    </w:p>
    <w:p w14:paraId="79BC3397" w14:textId="77777777" w:rsidR="00BB5584" w:rsidRDefault="00506586">
      <w:pPr>
        <w:widowControl w:val="0"/>
        <w:spacing w:line="240" w:lineRule="auto"/>
        <w:rPr>
          <w:b/>
          <w:sz w:val="24"/>
          <w:szCs w:val="24"/>
        </w:rPr>
      </w:pPr>
      <w:r>
        <w:rPr>
          <w:b/>
          <w:sz w:val="24"/>
          <w:szCs w:val="24"/>
        </w:rPr>
        <w:t xml:space="preserve">Explain how federal funds  leveraged additional </w:t>
      </w:r>
      <w:r>
        <w:rPr>
          <w:b/>
          <w:sz w:val="24"/>
          <w:szCs w:val="24"/>
        </w:rPr>
        <w:t>resources (private, state and local funds), including a description of how matching requirements were satisfied, as well as how any publicly owned land or property located within the jurisdiction that were used to address the needs identified in the plan.</w:t>
      </w:r>
    </w:p>
    <w:p w14:paraId="44141A92" w14:textId="77777777" w:rsidR="00BB5584" w:rsidRDefault="00506586">
      <w:pPr>
        <w:widowControl w:val="0"/>
        <w:spacing w:beforeAutospacing="1" w:afterAutospacing="1"/>
        <w:rPr>
          <w:sz w:val="24"/>
          <w:szCs w:val="24"/>
        </w:rPr>
      </w:pPr>
      <w:r>
        <w:rPr>
          <w:sz w:val="24"/>
          <w:szCs w:val="24"/>
        </w:rPr>
        <w:t xml:space="preserve">Sources of funding received within the jurisdiction include: HUD Housing Choice Voucher Program, Section 202, Low-Income Housing Tax Credits (LIHTC), Federal Home Loan Bank, FEMA, State funds, private lender financing, private foundation funds, non-profit </w:t>
      </w:r>
      <w:r>
        <w:rPr>
          <w:sz w:val="24"/>
          <w:szCs w:val="24"/>
        </w:rPr>
        <w:t>organizations, for-profit developers, and local contributions. </w:t>
      </w:r>
    </w:p>
    <w:p w14:paraId="524C3079" w14:textId="77777777" w:rsidR="00BB5584" w:rsidRDefault="00506586">
      <w:pPr>
        <w:widowControl w:val="0"/>
        <w:spacing w:beforeAutospacing="1" w:afterAutospacing="1"/>
        <w:rPr>
          <w:sz w:val="24"/>
          <w:szCs w:val="24"/>
        </w:rPr>
      </w:pPr>
      <w:r>
        <w:rPr>
          <w:sz w:val="24"/>
          <w:szCs w:val="24"/>
        </w:rPr>
        <w:t>The City of Tyler administers a Housing Infill Program (HIP) on behalf of the local taxing entities. HIP takes tax delinquent properties that have been struck off the tax rolls and sells the p</w:t>
      </w:r>
      <w:r>
        <w:rPr>
          <w:sz w:val="24"/>
          <w:szCs w:val="24"/>
        </w:rPr>
        <w:t>roperties at drastically reduced rates to developers to construct affordable housing for low and moderate income families. </w:t>
      </w:r>
    </w:p>
    <w:p w14:paraId="4FEC7F34" w14:textId="77777777" w:rsidR="00BB5584" w:rsidRDefault="00506586">
      <w:pPr>
        <w:widowControl w:val="0"/>
        <w:spacing w:beforeAutospacing="1" w:afterAutospacing="1"/>
        <w:rPr>
          <w:sz w:val="24"/>
          <w:szCs w:val="24"/>
        </w:rPr>
      </w:pPr>
      <w:r>
        <w:rPr>
          <w:sz w:val="24"/>
          <w:szCs w:val="24"/>
        </w:rPr>
        <w:t>The City of Tyler met its HOME matching requirements through excess match carried over from the last Federal fiscal year. </w:t>
      </w:r>
    </w:p>
    <w:p w14:paraId="3ED8C149" w14:textId="77777777" w:rsidR="00BB5584" w:rsidRDefault="00506586">
      <w:pPr>
        <w:widowControl w:val="0"/>
        <w:spacing w:beforeAutospacing="1" w:afterAutospacing="1"/>
        <w:rPr>
          <w:sz w:val="24"/>
          <w:szCs w:val="24"/>
        </w:rPr>
      </w:pPr>
      <w:r>
        <w:rPr>
          <w:sz w:val="24"/>
          <w:szCs w:val="24"/>
        </w:rPr>
        <w:t> </w:t>
      </w:r>
    </w:p>
    <w:p w14:paraId="1C7BEDBB" w14:textId="77777777" w:rsidR="00BB5584" w:rsidRDefault="00BB5584">
      <w:pPr>
        <w:widowControl w:val="0"/>
        <w:spacing w:after="0" w:line="240" w:lineRule="auto"/>
        <w:rPr>
          <w:sz w:val="24"/>
          <w:szCs w:val="24"/>
        </w:rPr>
      </w:pPr>
    </w:p>
    <w:p w14:paraId="595BDB1A" w14:textId="77777777" w:rsidR="00BB5584" w:rsidRDefault="00BB5584">
      <w:pPr>
        <w:spacing w:after="0" w:line="240" w:lineRule="auto"/>
        <w:rPr>
          <w:b/>
        </w:rPr>
      </w:pPr>
    </w:p>
    <w:p w14:paraId="33F148D1" w14:textId="77777777" w:rsidR="00BB5584" w:rsidRDefault="00BB5584">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3"/>
        <w:gridCol w:w="427"/>
      </w:tblGrid>
      <w:tr w:rsidR="00BB5584" w14:paraId="2879B72C" w14:textId="77777777">
        <w:trPr>
          <w:cantSplit/>
          <w:tblHeader/>
        </w:trPr>
        <w:tc>
          <w:tcPr>
            <w:tcW w:w="9576" w:type="dxa"/>
            <w:gridSpan w:val="2"/>
          </w:tcPr>
          <w:p w14:paraId="4A8341A2" w14:textId="77777777" w:rsidR="00BB5584" w:rsidRDefault="00506586">
            <w:pPr>
              <w:keepNext/>
              <w:widowControl w:val="0"/>
              <w:spacing w:after="0" w:line="240" w:lineRule="auto"/>
              <w:jc w:val="center"/>
              <w:rPr>
                <w:rFonts w:cs="Arial"/>
              </w:rPr>
            </w:pPr>
            <w:r>
              <w:rPr>
                <w:b/>
              </w:rPr>
              <w:t>Fiscal Year Summary – HOME Match</w:t>
            </w:r>
          </w:p>
        </w:tc>
      </w:tr>
      <w:tr w:rsidR="00BB5584" w14:paraId="42B3F66B" w14:textId="77777777">
        <w:trPr>
          <w:cantSplit/>
        </w:trPr>
        <w:tc>
          <w:tcPr>
            <w:tcW w:w="0" w:type="auto"/>
            <w:vAlign w:val="bottom"/>
          </w:tcPr>
          <w:p w14:paraId="6074EC39" w14:textId="77777777" w:rsidR="00BB5584" w:rsidRDefault="00506586">
            <w:pPr>
              <w:spacing w:beforeAutospacing="1" w:afterAutospacing="1"/>
            </w:pPr>
            <w:r>
              <w:rPr>
                <w:color w:val="000000"/>
              </w:rPr>
              <w:t>1. Excess match from prior Federal fiscal year</w:t>
            </w:r>
          </w:p>
        </w:tc>
        <w:tc>
          <w:tcPr>
            <w:tcW w:w="0" w:type="auto"/>
            <w:vAlign w:val="bottom"/>
          </w:tcPr>
          <w:p w14:paraId="00972D5D" w14:textId="77777777" w:rsidR="00BB5584" w:rsidRDefault="00506586">
            <w:pPr>
              <w:spacing w:beforeAutospacing="1" w:afterAutospacing="1"/>
              <w:jc w:val="right"/>
            </w:pPr>
            <w:r>
              <w:rPr>
                <w:color w:val="000000"/>
              </w:rPr>
              <w:t>0</w:t>
            </w:r>
          </w:p>
        </w:tc>
      </w:tr>
      <w:tr w:rsidR="00BB5584" w14:paraId="5075DD4E" w14:textId="77777777">
        <w:trPr>
          <w:cantSplit/>
        </w:trPr>
        <w:tc>
          <w:tcPr>
            <w:tcW w:w="0" w:type="auto"/>
            <w:vAlign w:val="bottom"/>
          </w:tcPr>
          <w:p w14:paraId="0D01321B" w14:textId="77777777" w:rsidR="00BB5584" w:rsidRDefault="00506586">
            <w:pPr>
              <w:spacing w:beforeAutospacing="1" w:afterAutospacing="1"/>
            </w:pPr>
            <w:r>
              <w:rPr>
                <w:color w:val="000000"/>
              </w:rPr>
              <w:t>2. Match contributed during current Federal fiscal year</w:t>
            </w:r>
          </w:p>
        </w:tc>
        <w:tc>
          <w:tcPr>
            <w:tcW w:w="0" w:type="auto"/>
            <w:vAlign w:val="bottom"/>
          </w:tcPr>
          <w:p w14:paraId="01EBDC7A" w14:textId="77777777" w:rsidR="00BB5584" w:rsidRDefault="00506586">
            <w:pPr>
              <w:spacing w:beforeAutospacing="1" w:afterAutospacing="1"/>
              <w:jc w:val="right"/>
            </w:pPr>
            <w:r>
              <w:rPr>
                <w:color w:val="000000"/>
              </w:rPr>
              <w:t>0</w:t>
            </w:r>
          </w:p>
        </w:tc>
      </w:tr>
      <w:tr w:rsidR="00BB5584" w14:paraId="586CBE7E" w14:textId="77777777">
        <w:trPr>
          <w:cantSplit/>
        </w:trPr>
        <w:tc>
          <w:tcPr>
            <w:tcW w:w="0" w:type="auto"/>
            <w:vAlign w:val="bottom"/>
          </w:tcPr>
          <w:p w14:paraId="54B7E0E3" w14:textId="77777777" w:rsidR="00BB5584" w:rsidRDefault="00506586">
            <w:pPr>
              <w:spacing w:beforeAutospacing="1" w:afterAutospacing="1"/>
            </w:pPr>
            <w:r>
              <w:rPr>
                <w:color w:val="000000"/>
              </w:rPr>
              <w:t>3. Total match available for current Federal fiscal year (Line 1 plus Line 2)</w:t>
            </w:r>
          </w:p>
        </w:tc>
        <w:tc>
          <w:tcPr>
            <w:tcW w:w="0" w:type="auto"/>
            <w:vAlign w:val="bottom"/>
          </w:tcPr>
          <w:p w14:paraId="2D3B565B" w14:textId="77777777" w:rsidR="00BB5584" w:rsidRDefault="00506586">
            <w:pPr>
              <w:spacing w:beforeAutospacing="1" w:afterAutospacing="1"/>
              <w:jc w:val="right"/>
            </w:pPr>
            <w:r>
              <w:rPr>
                <w:color w:val="000000"/>
              </w:rPr>
              <w:t>0</w:t>
            </w:r>
          </w:p>
        </w:tc>
      </w:tr>
      <w:tr w:rsidR="00BB5584" w14:paraId="74319BD2" w14:textId="77777777">
        <w:trPr>
          <w:cantSplit/>
        </w:trPr>
        <w:tc>
          <w:tcPr>
            <w:tcW w:w="0" w:type="auto"/>
            <w:vAlign w:val="bottom"/>
          </w:tcPr>
          <w:p w14:paraId="5ED4D504" w14:textId="77777777" w:rsidR="00BB5584" w:rsidRDefault="00506586">
            <w:pPr>
              <w:spacing w:beforeAutospacing="1" w:afterAutospacing="1"/>
            </w:pPr>
            <w:r>
              <w:rPr>
                <w:color w:val="000000"/>
              </w:rPr>
              <w:t>4. Match liability for current Federal fiscal year</w:t>
            </w:r>
          </w:p>
        </w:tc>
        <w:tc>
          <w:tcPr>
            <w:tcW w:w="0" w:type="auto"/>
            <w:vAlign w:val="bottom"/>
          </w:tcPr>
          <w:p w14:paraId="25FCF437" w14:textId="77777777" w:rsidR="00BB5584" w:rsidRDefault="00506586">
            <w:pPr>
              <w:spacing w:beforeAutospacing="1" w:afterAutospacing="1"/>
              <w:jc w:val="right"/>
            </w:pPr>
            <w:r>
              <w:rPr>
                <w:color w:val="000000"/>
              </w:rPr>
              <w:t>0</w:t>
            </w:r>
          </w:p>
        </w:tc>
      </w:tr>
      <w:tr w:rsidR="00BB5584" w14:paraId="1BB10FFE" w14:textId="77777777">
        <w:trPr>
          <w:cantSplit/>
        </w:trPr>
        <w:tc>
          <w:tcPr>
            <w:tcW w:w="0" w:type="auto"/>
            <w:vAlign w:val="bottom"/>
          </w:tcPr>
          <w:p w14:paraId="2E33D02F" w14:textId="77777777" w:rsidR="00BB5584" w:rsidRDefault="00506586">
            <w:pPr>
              <w:spacing w:beforeAutospacing="1" w:afterAutospacing="1"/>
            </w:pPr>
            <w:r>
              <w:rPr>
                <w:color w:val="000000"/>
              </w:rPr>
              <w:t>5. Excess match carried over to next Federal fiscal year (Line 3 minus Line 4)</w:t>
            </w:r>
          </w:p>
        </w:tc>
        <w:tc>
          <w:tcPr>
            <w:tcW w:w="0" w:type="auto"/>
            <w:vAlign w:val="bottom"/>
          </w:tcPr>
          <w:p w14:paraId="14C66F85" w14:textId="77777777" w:rsidR="00BB5584" w:rsidRDefault="00506586">
            <w:pPr>
              <w:spacing w:beforeAutospacing="1" w:afterAutospacing="1"/>
              <w:jc w:val="right"/>
            </w:pPr>
            <w:r>
              <w:rPr>
                <w:color w:val="000000"/>
              </w:rPr>
              <w:t>0</w:t>
            </w:r>
          </w:p>
        </w:tc>
      </w:tr>
    </w:tbl>
    <w:p w14:paraId="72BF5278"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Fisca</w:t>
      </w:r>
      <w:r>
        <w:rPr>
          <w:rFonts w:asciiTheme="minorHAnsi" w:hAnsiTheme="minorHAnsi"/>
        </w:rPr>
        <w:t>l Year Summary - HOME Match Report</w:t>
      </w:r>
    </w:p>
    <w:p w14:paraId="30CBC593" w14:textId="77777777" w:rsidR="00BB5584" w:rsidRDefault="00BB5584">
      <w:pPr>
        <w:widowControl w:val="0"/>
        <w:spacing w:line="204" w:lineRule="auto"/>
        <w:rPr>
          <w:rFonts w:cs="Arial"/>
        </w:rPr>
      </w:pPr>
    </w:p>
    <w:p w14:paraId="1467552C" w14:textId="77777777" w:rsidR="00BB5584" w:rsidRDefault="00BB5584">
      <w:pPr>
        <w:widowControl w:val="0"/>
        <w:spacing w:line="204" w:lineRule="auto"/>
        <w:rPr>
          <w:rFonts w:cs="Arial"/>
        </w:rPr>
      </w:pPr>
    </w:p>
    <w:p w14:paraId="5B3B385F" w14:textId="77777777" w:rsidR="00BB5584" w:rsidRDefault="00BB5584">
      <w:pPr>
        <w:keepNext/>
        <w:spacing w:after="0" w:line="240" w:lineRule="auto"/>
        <w:rPr>
          <w:b/>
          <w:sz w:val="24"/>
          <w:szCs w:val="24"/>
        </w:rPr>
        <w:sectPr w:rsidR="00BB5584">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38"/>
        <w:gridCol w:w="1439"/>
        <w:gridCol w:w="1439"/>
        <w:gridCol w:w="1439"/>
        <w:gridCol w:w="1439"/>
        <w:gridCol w:w="1439"/>
        <w:gridCol w:w="1439"/>
        <w:gridCol w:w="1439"/>
        <w:gridCol w:w="1439"/>
      </w:tblGrid>
      <w:tr w:rsidR="00BB5584" w14:paraId="1EE35824" w14:textId="77777777">
        <w:trPr>
          <w:cantSplit/>
          <w:tblHeader/>
        </w:trPr>
        <w:tc>
          <w:tcPr>
            <w:tcW w:w="13176" w:type="dxa"/>
            <w:gridSpan w:val="9"/>
          </w:tcPr>
          <w:p w14:paraId="09EE87FB" w14:textId="77777777" w:rsidR="00BB5584" w:rsidRDefault="00506586">
            <w:pPr>
              <w:keepNext/>
              <w:widowControl w:val="0"/>
              <w:tabs>
                <w:tab w:val="left" w:pos="405"/>
                <w:tab w:val="center" w:pos="6480"/>
              </w:tabs>
              <w:spacing w:after="0" w:line="240" w:lineRule="auto"/>
              <w:rPr>
                <w:b/>
              </w:rPr>
            </w:pPr>
            <w:r>
              <w:rPr>
                <w:b/>
              </w:rPr>
              <w:lastRenderedPageBreak/>
              <w:tab/>
            </w:r>
            <w:r>
              <w:rPr>
                <w:b/>
              </w:rPr>
              <w:tab/>
              <w:t>Match Contribution for the Federal Fiscal Year</w:t>
            </w:r>
          </w:p>
        </w:tc>
      </w:tr>
      <w:tr w:rsidR="00BB5584" w14:paraId="253E6004" w14:textId="77777777">
        <w:trPr>
          <w:cantSplit/>
          <w:tblHeader/>
        </w:trPr>
        <w:tc>
          <w:tcPr>
            <w:tcW w:w="1464" w:type="dxa"/>
          </w:tcPr>
          <w:p w14:paraId="12B91A26" w14:textId="77777777" w:rsidR="00BB5584" w:rsidRDefault="00506586">
            <w:pPr>
              <w:keepNext/>
              <w:widowControl w:val="0"/>
              <w:spacing w:after="0" w:line="240" w:lineRule="auto"/>
              <w:jc w:val="center"/>
              <w:rPr>
                <w:b/>
                <w:sz w:val="20"/>
                <w:szCs w:val="20"/>
              </w:rPr>
            </w:pPr>
            <w:r>
              <w:rPr>
                <w:b/>
                <w:sz w:val="20"/>
                <w:szCs w:val="20"/>
              </w:rPr>
              <w:t>Project No. or Other ID</w:t>
            </w:r>
          </w:p>
        </w:tc>
        <w:tc>
          <w:tcPr>
            <w:tcW w:w="1464" w:type="dxa"/>
          </w:tcPr>
          <w:p w14:paraId="622CD8B4" w14:textId="77777777" w:rsidR="00BB5584" w:rsidRDefault="00506586">
            <w:pPr>
              <w:keepNext/>
              <w:widowControl w:val="0"/>
              <w:spacing w:after="0" w:line="240" w:lineRule="auto"/>
              <w:jc w:val="center"/>
              <w:rPr>
                <w:b/>
                <w:sz w:val="20"/>
                <w:szCs w:val="20"/>
              </w:rPr>
            </w:pPr>
            <w:r>
              <w:rPr>
                <w:b/>
                <w:sz w:val="20"/>
                <w:szCs w:val="20"/>
              </w:rPr>
              <w:t>Date of Contribution</w:t>
            </w:r>
          </w:p>
        </w:tc>
        <w:tc>
          <w:tcPr>
            <w:tcW w:w="1464" w:type="dxa"/>
          </w:tcPr>
          <w:p w14:paraId="6D82545E" w14:textId="77777777" w:rsidR="00BB5584" w:rsidRDefault="00506586">
            <w:pPr>
              <w:keepNext/>
              <w:widowControl w:val="0"/>
              <w:spacing w:after="0" w:line="240" w:lineRule="auto"/>
              <w:jc w:val="center"/>
              <w:rPr>
                <w:b/>
                <w:sz w:val="20"/>
                <w:szCs w:val="20"/>
              </w:rPr>
            </w:pPr>
            <w:r>
              <w:rPr>
                <w:b/>
                <w:sz w:val="20"/>
                <w:szCs w:val="20"/>
              </w:rPr>
              <w:t>Cash</w:t>
            </w:r>
          </w:p>
          <w:p w14:paraId="3BEB9854" w14:textId="77777777" w:rsidR="00BB5584" w:rsidRDefault="00506586">
            <w:pPr>
              <w:keepNext/>
              <w:widowControl w:val="0"/>
              <w:spacing w:after="0" w:line="240" w:lineRule="auto"/>
              <w:jc w:val="center"/>
              <w:rPr>
                <w:b/>
                <w:sz w:val="20"/>
                <w:szCs w:val="20"/>
              </w:rPr>
            </w:pPr>
            <w:r>
              <w:rPr>
                <w:b/>
                <w:sz w:val="20"/>
                <w:szCs w:val="20"/>
              </w:rPr>
              <w:t>(non-Federal sources)</w:t>
            </w:r>
          </w:p>
        </w:tc>
        <w:tc>
          <w:tcPr>
            <w:tcW w:w="1464" w:type="dxa"/>
          </w:tcPr>
          <w:p w14:paraId="583FA3DC" w14:textId="77777777" w:rsidR="00BB5584" w:rsidRDefault="00506586">
            <w:pPr>
              <w:keepNext/>
              <w:widowControl w:val="0"/>
              <w:spacing w:after="0" w:line="240" w:lineRule="auto"/>
              <w:jc w:val="center"/>
              <w:rPr>
                <w:b/>
                <w:sz w:val="20"/>
                <w:szCs w:val="20"/>
              </w:rPr>
            </w:pPr>
            <w:r>
              <w:rPr>
                <w:b/>
                <w:sz w:val="20"/>
                <w:szCs w:val="20"/>
              </w:rPr>
              <w:t>Foregone Taxes, Fees, Charges</w:t>
            </w:r>
          </w:p>
        </w:tc>
        <w:tc>
          <w:tcPr>
            <w:tcW w:w="1464" w:type="dxa"/>
          </w:tcPr>
          <w:p w14:paraId="1C7E047E" w14:textId="77777777" w:rsidR="00BB5584" w:rsidRDefault="00506586">
            <w:pPr>
              <w:keepNext/>
              <w:widowControl w:val="0"/>
              <w:spacing w:after="0" w:line="240" w:lineRule="auto"/>
              <w:jc w:val="center"/>
              <w:rPr>
                <w:b/>
                <w:sz w:val="20"/>
                <w:szCs w:val="20"/>
              </w:rPr>
            </w:pPr>
            <w:r>
              <w:rPr>
                <w:b/>
                <w:sz w:val="20"/>
                <w:szCs w:val="20"/>
              </w:rPr>
              <w:t>Appraised Land/Real Property</w:t>
            </w:r>
          </w:p>
        </w:tc>
        <w:tc>
          <w:tcPr>
            <w:tcW w:w="1464" w:type="dxa"/>
          </w:tcPr>
          <w:p w14:paraId="297F19E3" w14:textId="77777777" w:rsidR="00BB5584" w:rsidRDefault="00506586">
            <w:pPr>
              <w:keepNext/>
              <w:widowControl w:val="0"/>
              <w:spacing w:after="0" w:line="240" w:lineRule="auto"/>
              <w:jc w:val="center"/>
              <w:rPr>
                <w:b/>
                <w:sz w:val="20"/>
                <w:szCs w:val="20"/>
              </w:rPr>
            </w:pPr>
            <w:r>
              <w:rPr>
                <w:b/>
                <w:sz w:val="20"/>
                <w:szCs w:val="20"/>
              </w:rPr>
              <w:t xml:space="preserve">Required </w:t>
            </w:r>
            <w:r>
              <w:rPr>
                <w:b/>
                <w:sz w:val="20"/>
                <w:szCs w:val="20"/>
              </w:rPr>
              <w:t>Infrastructure</w:t>
            </w:r>
          </w:p>
        </w:tc>
        <w:tc>
          <w:tcPr>
            <w:tcW w:w="1464" w:type="dxa"/>
          </w:tcPr>
          <w:p w14:paraId="0C10D137" w14:textId="77777777" w:rsidR="00BB5584" w:rsidRDefault="00506586">
            <w:pPr>
              <w:keepNext/>
              <w:widowControl w:val="0"/>
              <w:spacing w:after="0" w:line="240" w:lineRule="auto"/>
              <w:jc w:val="center"/>
              <w:rPr>
                <w:b/>
                <w:sz w:val="20"/>
                <w:szCs w:val="20"/>
              </w:rPr>
            </w:pPr>
            <w:r>
              <w:rPr>
                <w:b/>
                <w:sz w:val="20"/>
                <w:szCs w:val="20"/>
              </w:rPr>
              <w:t>Site Preparation, Construction Materials, Donated labor</w:t>
            </w:r>
          </w:p>
        </w:tc>
        <w:tc>
          <w:tcPr>
            <w:tcW w:w="1464" w:type="dxa"/>
          </w:tcPr>
          <w:p w14:paraId="7C36E3D9" w14:textId="77777777" w:rsidR="00BB5584" w:rsidRDefault="00506586">
            <w:pPr>
              <w:keepNext/>
              <w:widowControl w:val="0"/>
              <w:spacing w:after="0" w:line="240" w:lineRule="auto"/>
              <w:jc w:val="center"/>
              <w:rPr>
                <w:b/>
                <w:sz w:val="20"/>
                <w:szCs w:val="20"/>
              </w:rPr>
            </w:pPr>
            <w:r>
              <w:rPr>
                <w:b/>
                <w:sz w:val="20"/>
                <w:szCs w:val="20"/>
              </w:rPr>
              <w:t>Bond Financing</w:t>
            </w:r>
          </w:p>
        </w:tc>
        <w:tc>
          <w:tcPr>
            <w:tcW w:w="1464" w:type="dxa"/>
          </w:tcPr>
          <w:p w14:paraId="60CFF6DD" w14:textId="77777777" w:rsidR="00BB5584" w:rsidRDefault="00506586">
            <w:pPr>
              <w:keepNext/>
              <w:widowControl w:val="0"/>
              <w:spacing w:after="0" w:line="240" w:lineRule="auto"/>
              <w:jc w:val="center"/>
              <w:rPr>
                <w:b/>
                <w:sz w:val="20"/>
                <w:szCs w:val="20"/>
              </w:rPr>
            </w:pPr>
            <w:r>
              <w:rPr>
                <w:b/>
                <w:sz w:val="20"/>
                <w:szCs w:val="20"/>
              </w:rPr>
              <w:t>Total Match</w:t>
            </w:r>
          </w:p>
        </w:tc>
      </w:tr>
      <w:tr w:rsidR="00BB5584" w14:paraId="50D525AE" w14:textId="77777777">
        <w:trPr>
          <w:cantSplit/>
        </w:trPr>
        <w:tc>
          <w:tcPr>
            <w:tcW w:w="1464" w:type="dxa"/>
          </w:tcPr>
          <w:p w14:paraId="64F64A39" w14:textId="77777777" w:rsidR="00BB5584" w:rsidRDefault="00BB5584">
            <w:pPr>
              <w:keepNext/>
              <w:widowControl w:val="0"/>
              <w:spacing w:after="0" w:line="240" w:lineRule="auto"/>
              <w:rPr>
                <w:sz w:val="20"/>
                <w:szCs w:val="20"/>
              </w:rPr>
            </w:pPr>
          </w:p>
        </w:tc>
        <w:tc>
          <w:tcPr>
            <w:tcW w:w="1464" w:type="dxa"/>
          </w:tcPr>
          <w:p w14:paraId="578A6591" w14:textId="77777777" w:rsidR="00BB5584" w:rsidRDefault="00BB5584">
            <w:pPr>
              <w:keepNext/>
              <w:widowControl w:val="0"/>
              <w:spacing w:after="0" w:line="240" w:lineRule="auto"/>
              <w:rPr>
                <w:sz w:val="20"/>
                <w:szCs w:val="20"/>
              </w:rPr>
            </w:pPr>
          </w:p>
        </w:tc>
        <w:tc>
          <w:tcPr>
            <w:tcW w:w="1464" w:type="dxa"/>
          </w:tcPr>
          <w:p w14:paraId="736744FD" w14:textId="77777777" w:rsidR="00BB5584" w:rsidRDefault="00BB5584">
            <w:pPr>
              <w:keepNext/>
              <w:widowControl w:val="0"/>
              <w:spacing w:after="0" w:line="240" w:lineRule="auto"/>
              <w:rPr>
                <w:sz w:val="20"/>
                <w:szCs w:val="20"/>
              </w:rPr>
            </w:pPr>
          </w:p>
        </w:tc>
        <w:tc>
          <w:tcPr>
            <w:tcW w:w="1464" w:type="dxa"/>
          </w:tcPr>
          <w:p w14:paraId="5BCE8B87" w14:textId="77777777" w:rsidR="00BB5584" w:rsidRDefault="00BB5584">
            <w:pPr>
              <w:keepNext/>
              <w:widowControl w:val="0"/>
              <w:spacing w:after="0" w:line="240" w:lineRule="auto"/>
              <w:rPr>
                <w:sz w:val="20"/>
                <w:szCs w:val="20"/>
              </w:rPr>
            </w:pPr>
          </w:p>
        </w:tc>
        <w:tc>
          <w:tcPr>
            <w:tcW w:w="1464" w:type="dxa"/>
          </w:tcPr>
          <w:p w14:paraId="1DCBB05B" w14:textId="77777777" w:rsidR="00BB5584" w:rsidRDefault="00BB5584">
            <w:pPr>
              <w:keepNext/>
              <w:widowControl w:val="0"/>
              <w:spacing w:after="0" w:line="240" w:lineRule="auto"/>
              <w:rPr>
                <w:sz w:val="20"/>
                <w:szCs w:val="20"/>
              </w:rPr>
            </w:pPr>
          </w:p>
        </w:tc>
        <w:tc>
          <w:tcPr>
            <w:tcW w:w="1464" w:type="dxa"/>
          </w:tcPr>
          <w:p w14:paraId="2A3965A2" w14:textId="77777777" w:rsidR="00BB5584" w:rsidRDefault="00BB5584">
            <w:pPr>
              <w:keepNext/>
              <w:widowControl w:val="0"/>
              <w:spacing w:after="0" w:line="240" w:lineRule="auto"/>
              <w:rPr>
                <w:sz w:val="20"/>
                <w:szCs w:val="20"/>
              </w:rPr>
            </w:pPr>
          </w:p>
        </w:tc>
        <w:tc>
          <w:tcPr>
            <w:tcW w:w="1464" w:type="dxa"/>
          </w:tcPr>
          <w:p w14:paraId="76FCB1C5" w14:textId="77777777" w:rsidR="00BB5584" w:rsidRDefault="00BB5584">
            <w:pPr>
              <w:keepNext/>
              <w:widowControl w:val="0"/>
              <w:spacing w:after="0" w:line="240" w:lineRule="auto"/>
              <w:rPr>
                <w:sz w:val="20"/>
                <w:szCs w:val="20"/>
              </w:rPr>
            </w:pPr>
          </w:p>
        </w:tc>
        <w:tc>
          <w:tcPr>
            <w:tcW w:w="1464" w:type="dxa"/>
          </w:tcPr>
          <w:p w14:paraId="573CBC10" w14:textId="77777777" w:rsidR="00BB5584" w:rsidRDefault="00BB5584">
            <w:pPr>
              <w:keepNext/>
              <w:widowControl w:val="0"/>
              <w:spacing w:after="0" w:line="240" w:lineRule="auto"/>
              <w:rPr>
                <w:sz w:val="20"/>
                <w:szCs w:val="20"/>
              </w:rPr>
            </w:pPr>
          </w:p>
        </w:tc>
        <w:tc>
          <w:tcPr>
            <w:tcW w:w="1464" w:type="dxa"/>
          </w:tcPr>
          <w:p w14:paraId="5007A86C" w14:textId="77777777" w:rsidR="00BB5584" w:rsidRDefault="00BB5584">
            <w:pPr>
              <w:keepNext/>
              <w:widowControl w:val="0"/>
              <w:spacing w:after="0" w:line="240" w:lineRule="auto"/>
              <w:rPr>
                <w:sz w:val="20"/>
                <w:szCs w:val="20"/>
              </w:rPr>
            </w:pPr>
          </w:p>
        </w:tc>
      </w:tr>
    </w:tbl>
    <w:p w14:paraId="1C135403"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Match Contribution for the Federal Fiscal Year</w:t>
      </w:r>
    </w:p>
    <w:p w14:paraId="2C8ABBBA" w14:textId="77777777" w:rsidR="00BB5584" w:rsidRDefault="00BB5584"/>
    <w:p w14:paraId="615090BB" w14:textId="77777777" w:rsidR="00BB5584" w:rsidRDefault="00506586">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89"/>
        <w:gridCol w:w="2590"/>
        <w:gridCol w:w="2590"/>
        <w:gridCol w:w="2590"/>
        <w:gridCol w:w="2591"/>
      </w:tblGrid>
      <w:tr w:rsidR="00BB5584" w14:paraId="5EEA96DD" w14:textId="77777777">
        <w:trPr>
          <w:cantSplit/>
          <w:tblHeader/>
        </w:trPr>
        <w:tc>
          <w:tcPr>
            <w:tcW w:w="13176" w:type="dxa"/>
            <w:gridSpan w:val="5"/>
          </w:tcPr>
          <w:p w14:paraId="6ACD3EAE" w14:textId="77777777" w:rsidR="00BB5584" w:rsidRDefault="00506586">
            <w:pPr>
              <w:keepNext/>
              <w:widowControl w:val="0"/>
              <w:spacing w:after="0" w:line="240" w:lineRule="auto"/>
              <w:rPr>
                <w:b/>
              </w:rPr>
            </w:pPr>
            <w:r>
              <w:rPr>
                <w:b/>
              </w:rPr>
              <w:t xml:space="preserve">Program Income </w:t>
            </w:r>
            <w:r>
              <w:t xml:space="preserve">– Enter the program </w:t>
            </w:r>
            <w:r>
              <w:t>amounts for the reporting period</w:t>
            </w:r>
          </w:p>
        </w:tc>
      </w:tr>
      <w:tr w:rsidR="00BB5584" w14:paraId="0C857CA1" w14:textId="77777777">
        <w:trPr>
          <w:cantSplit/>
          <w:tblHeader/>
        </w:trPr>
        <w:tc>
          <w:tcPr>
            <w:tcW w:w="2635" w:type="dxa"/>
          </w:tcPr>
          <w:p w14:paraId="68AA8DA6" w14:textId="77777777" w:rsidR="00BB5584" w:rsidRDefault="00506586">
            <w:pPr>
              <w:keepNext/>
              <w:spacing w:after="0" w:line="240" w:lineRule="auto"/>
              <w:jc w:val="center"/>
              <w:rPr>
                <w:b/>
              </w:rPr>
            </w:pPr>
            <w:r>
              <w:rPr>
                <w:b/>
              </w:rPr>
              <w:t>Balance on hand at begin-ning of reporting period</w:t>
            </w:r>
          </w:p>
          <w:p w14:paraId="720912B0" w14:textId="77777777" w:rsidR="00BB5584" w:rsidRDefault="00506586">
            <w:pPr>
              <w:keepNext/>
              <w:spacing w:after="0" w:line="240" w:lineRule="auto"/>
              <w:jc w:val="center"/>
              <w:rPr>
                <w:b/>
              </w:rPr>
            </w:pPr>
            <w:r>
              <w:rPr>
                <w:b/>
              </w:rPr>
              <w:t>$</w:t>
            </w:r>
          </w:p>
        </w:tc>
        <w:tc>
          <w:tcPr>
            <w:tcW w:w="2635" w:type="dxa"/>
          </w:tcPr>
          <w:p w14:paraId="611ECDAA" w14:textId="77777777" w:rsidR="00BB5584" w:rsidRDefault="00506586">
            <w:pPr>
              <w:keepNext/>
              <w:spacing w:after="0" w:line="240" w:lineRule="auto"/>
              <w:jc w:val="center"/>
              <w:rPr>
                <w:b/>
              </w:rPr>
            </w:pPr>
            <w:r>
              <w:rPr>
                <w:b/>
              </w:rPr>
              <w:t>Amount received during reporting period</w:t>
            </w:r>
          </w:p>
          <w:p w14:paraId="75C4E9F7" w14:textId="77777777" w:rsidR="00BB5584" w:rsidRDefault="00506586">
            <w:pPr>
              <w:keepNext/>
              <w:spacing w:after="0" w:line="240" w:lineRule="auto"/>
              <w:jc w:val="center"/>
              <w:rPr>
                <w:b/>
              </w:rPr>
            </w:pPr>
            <w:r>
              <w:rPr>
                <w:b/>
              </w:rPr>
              <w:t>$</w:t>
            </w:r>
          </w:p>
        </w:tc>
        <w:tc>
          <w:tcPr>
            <w:tcW w:w="2635" w:type="dxa"/>
          </w:tcPr>
          <w:p w14:paraId="1E50A88F" w14:textId="77777777" w:rsidR="00BB5584" w:rsidRDefault="00506586">
            <w:pPr>
              <w:keepNext/>
              <w:spacing w:after="0" w:line="240" w:lineRule="auto"/>
              <w:jc w:val="center"/>
              <w:rPr>
                <w:b/>
              </w:rPr>
            </w:pPr>
            <w:r>
              <w:rPr>
                <w:b/>
              </w:rPr>
              <w:t>Total amount expended during reporting period</w:t>
            </w:r>
          </w:p>
          <w:p w14:paraId="175F4B4C" w14:textId="77777777" w:rsidR="00BB5584" w:rsidRDefault="00506586">
            <w:pPr>
              <w:keepNext/>
              <w:spacing w:after="0" w:line="240" w:lineRule="auto"/>
              <w:jc w:val="center"/>
              <w:rPr>
                <w:b/>
              </w:rPr>
            </w:pPr>
            <w:r>
              <w:rPr>
                <w:b/>
              </w:rPr>
              <w:t>$</w:t>
            </w:r>
          </w:p>
        </w:tc>
        <w:tc>
          <w:tcPr>
            <w:tcW w:w="2635" w:type="dxa"/>
          </w:tcPr>
          <w:p w14:paraId="3DD851D1" w14:textId="77777777" w:rsidR="00BB5584" w:rsidRDefault="00506586">
            <w:pPr>
              <w:keepNext/>
              <w:spacing w:after="0" w:line="240" w:lineRule="auto"/>
              <w:jc w:val="center"/>
              <w:rPr>
                <w:b/>
              </w:rPr>
            </w:pPr>
            <w:r>
              <w:rPr>
                <w:b/>
              </w:rPr>
              <w:t>Amount expended for TBRA</w:t>
            </w:r>
          </w:p>
          <w:p w14:paraId="2EC78309" w14:textId="77777777" w:rsidR="00BB5584" w:rsidRDefault="00506586">
            <w:pPr>
              <w:keepNext/>
              <w:spacing w:after="0" w:line="240" w:lineRule="auto"/>
              <w:jc w:val="center"/>
              <w:rPr>
                <w:b/>
              </w:rPr>
            </w:pPr>
            <w:r>
              <w:rPr>
                <w:b/>
              </w:rPr>
              <w:t>$</w:t>
            </w:r>
          </w:p>
        </w:tc>
        <w:tc>
          <w:tcPr>
            <w:tcW w:w="2636" w:type="dxa"/>
          </w:tcPr>
          <w:p w14:paraId="36FACE61" w14:textId="77777777" w:rsidR="00BB5584" w:rsidRDefault="00506586">
            <w:pPr>
              <w:keepNext/>
              <w:spacing w:after="0" w:line="240" w:lineRule="auto"/>
              <w:jc w:val="center"/>
              <w:rPr>
                <w:b/>
              </w:rPr>
            </w:pPr>
            <w:r>
              <w:rPr>
                <w:b/>
              </w:rPr>
              <w:t>Balance on hand at end of reporting period</w:t>
            </w:r>
          </w:p>
          <w:p w14:paraId="4ECC3E79" w14:textId="77777777" w:rsidR="00BB5584" w:rsidRDefault="00506586">
            <w:pPr>
              <w:keepNext/>
              <w:spacing w:after="0" w:line="240" w:lineRule="auto"/>
              <w:jc w:val="center"/>
              <w:rPr>
                <w:b/>
              </w:rPr>
            </w:pPr>
            <w:r>
              <w:rPr>
                <w:b/>
              </w:rPr>
              <w:t>$</w:t>
            </w:r>
          </w:p>
        </w:tc>
      </w:tr>
      <w:tr w:rsidR="00BB5584" w14:paraId="30B6AA83" w14:textId="77777777">
        <w:trPr>
          <w:cantSplit/>
        </w:trPr>
        <w:tc>
          <w:tcPr>
            <w:tcW w:w="2637" w:type="dxa"/>
            <w:vAlign w:val="bottom"/>
          </w:tcPr>
          <w:p w14:paraId="780AE9B4" w14:textId="77777777" w:rsidR="00BB5584" w:rsidRDefault="00506586">
            <w:pPr>
              <w:spacing w:beforeAutospacing="1" w:afterAutospacing="1"/>
              <w:jc w:val="right"/>
            </w:pPr>
            <w:r>
              <w:rPr>
                <w:color w:val="000000"/>
              </w:rPr>
              <w:t>0</w:t>
            </w:r>
          </w:p>
        </w:tc>
        <w:tc>
          <w:tcPr>
            <w:tcW w:w="2638" w:type="dxa"/>
            <w:vAlign w:val="bottom"/>
          </w:tcPr>
          <w:p w14:paraId="55B48797" w14:textId="77777777" w:rsidR="00BB5584" w:rsidRDefault="00506586">
            <w:pPr>
              <w:spacing w:beforeAutospacing="1" w:afterAutospacing="1"/>
              <w:jc w:val="right"/>
            </w:pPr>
            <w:r>
              <w:rPr>
                <w:color w:val="000000"/>
              </w:rPr>
              <w:t>0</w:t>
            </w:r>
          </w:p>
        </w:tc>
        <w:tc>
          <w:tcPr>
            <w:tcW w:w="2638" w:type="dxa"/>
            <w:vAlign w:val="bottom"/>
          </w:tcPr>
          <w:p w14:paraId="09C28699" w14:textId="77777777" w:rsidR="00BB5584" w:rsidRDefault="00506586">
            <w:pPr>
              <w:spacing w:beforeAutospacing="1" w:afterAutospacing="1"/>
              <w:jc w:val="right"/>
            </w:pPr>
            <w:r>
              <w:rPr>
                <w:color w:val="000000"/>
              </w:rPr>
              <w:t>0</w:t>
            </w:r>
          </w:p>
        </w:tc>
        <w:tc>
          <w:tcPr>
            <w:tcW w:w="2638" w:type="dxa"/>
            <w:vAlign w:val="bottom"/>
          </w:tcPr>
          <w:p w14:paraId="06B24DCA" w14:textId="77777777" w:rsidR="00BB5584" w:rsidRDefault="00506586">
            <w:pPr>
              <w:spacing w:beforeAutospacing="1" w:afterAutospacing="1"/>
              <w:jc w:val="right"/>
            </w:pPr>
            <w:r>
              <w:rPr>
                <w:color w:val="000000"/>
              </w:rPr>
              <w:t>0</w:t>
            </w:r>
          </w:p>
        </w:tc>
        <w:tc>
          <w:tcPr>
            <w:tcW w:w="2639" w:type="dxa"/>
            <w:vAlign w:val="bottom"/>
          </w:tcPr>
          <w:p w14:paraId="015EE653" w14:textId="77777777" w:rsidR="00BB5584" w:rsidRDefault="00506586">
            <w:pPr>
              <w:spacing w:beforeAutospacing="1" w:afterAutospacing="1"/>
              <w:jc w:val="right"/>
            </w:pPr>
            <w:r>
              <w:rPr>
                <w:color w:val="000000"/>
              </w:rPr>
              <w:t>0</w:t>
            </w:r>
          </w:p>
        </w:tc>
      </w:tr>
    </w:tbl>
    <w:p w14:paraId="6AB82B72"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Program Income</w:t>
      </w:r>
    </w:p>
    <w:p w14:paraId="3667A12C" w14:textId="77777777" w:rsidR="00BB5584" w:rsidRDefault="00BB5584">
      <w:pPr>
        <w:widowControl w:val="0"/>
        <w:spacing w:after="0" w:line="240" w:lineRule="auto"/>
        <w:rPr>
          <w:b/>
          <w:sz w:val="20"/>
          <w:szCs w:val="20"/>
        </w:rPr>
      </w:pPr>
    </w:p>
    <w:p w14:paraId="409EF498" w14:textId="77777777" w:rsidR="00BB5584" w:rsidRDefault="00BB5584">
      <w:pPr>
        <w:widowControl w:val="0"/>
        <w:spacing w:after="0" w:line="240" w:lineRule="auto"/>
        <w:jc w:val="center"/>
        <w:rPr>
          <w:b/>
          <w:sz w:val="20"/>
          <w:szCs w:val="20"/>
        </w:rPr>
        <w:sectPr w:rsidR="00BB5584">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B5584" w14:paraId="628AB11F" w14:textId="77777777">
        <w:tc>
          <w:tcPr>
            <w:tcW w:w="9576" w:type="dxa"/>
          </w:tcPr>
          <w:p w14:paraId="2D1A3C5E" w14:textId="77777777" w:rsidR="00BB5584" w:rsidRDefault="00506586">
            <w:pPr>
              <w:keepNext/>
              <w:widowControl w:val="0"/>
              <w:spacing w:after="0" w:line="240" w:lineRule="auto"/>
              <w:rPr>
                <w:b/>
              </w:rPr>
            </w:pPr>
            <w:r>
              <w:rPr>
                <w:b/>
              </w:rPr>
              <w:lastRenderedPageBreak/>
              <w:t xml:space="preserve">Minority Business Enterprises and Women Business Enterprises – </w:t>
            </w:r>
            <w:r>
              <w:t>Indicate the number and dollar value of contracts for HOME projects completed during the reporting period</w:t>
            </w:r>
          </w:p>
        </w:tc>
      </w:tr>
    </w:tbl>
    <w:p w14:paraId="7DB9DD55" w14:textId="77777777" w:rsidR="00BB5584" w:rsidRDefault="00BB5584">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BB5584" w14:paraId="13CD1D8F" w14:textId="77777777">
        <w:trPr>
          <w:cantSplit/>
        </w:trPr>
        <w:tc>
          <w:tcPr>
            <w:tcW w:w="1368" w:type="dxa"/>
            <w:vMerge w:val="restart"/>
          </w:tcPr>
          <w:p w14:paraId="5E6CF55F" w14:textId="77777777" w:rsidR="00BB5584" w:rsidRDefault="00BB5584">
            <w:pPr>
              <w:keepNext/>
              <w:widowControl w:val="0"/>
              <w:spacing w:after="0" w:line="240" w:lineRule="auto"/>
              <w:rPr>
                <w:b/>
              </w:rPr>
            </w:pPr>
          </w:p>
        </w:tc>
        <w:tc>
          <w:tcPr>
            <w:tcW w:w="1368" w:type="dxa"/>
            <w:vMerge w:val="restart"/>
          </w:tcPr>
          <w:p w14:paraId="150E2225" w14:textId="77777777" w:rsidR="00BB5584" w:rsidRDefault="00506586">
            <w:pPr>
              <w:keepNext/>
              <w:widowControl w:val="0"/>
              <w:spacing w:after="0" w:line="240" w:lineRule="auto"/>
              <w:jc w:val="center"/>
              <w:rPr>
                <w:b/>
              </w:rPr>
            </w:pPr>
            <w:r>
              <w:rPr>
                <w:b/>
              </w:rPr>
              <w:t>Total</w:t>
            </w:r>
          </w:p>
        </w:tc>
        <w:tc>
          <w:tcPr>
            <w:tcW w:w="5472" w:type="dxa"/>
            <w:gridSpan w:val="4"/>
          </w:tcPr>
          <w:p w14:paraId="5A4096BE" w14:textId="77777777" w:rsidR="00BB5584" w:rsidRDefault="00506586">
            <w:pPr>
              <w:keepNext/>
              <w:widowControl w:val="0"/>
              <w:spacing w:after="0" w:line="240" w:lineRule="auto"/>
              <w:jc w:val="center"/>
              <w:rPr>
                <w:b/>
              </w:rPr>
            </w:pPr>
            <w:r>
              <w:rPr>
                <w:b/>
              </w:rPr>
              <w:t>Minority Business Enterprises</w:t>
            </w:r>
          </w:p>
        </w:tc>
        <w:tc>
          <w:tcPr>
            <w:tcW w:w="1368" w:type="dxa"/>
            <w:vMerge w:val="restart"/>
          </w:tcPr>
          <w:p w14:paraId="7AE3E4CA" w14:textId="77777777" w:rsidR="00BB5584" w:rsidRDefault="00506586">
            <w:pPr>
              <w:keepNext/>
              <w:widowControl w:val="0"/>
              <w:spacing w:after="0" w:line="240" w:lineRule="auto"/>
              <w:jc w:val="center"/>
              <w:rPr>
                <w:b/>
              </w:rPr>
            </w:pPr>
            <w:r>
              <w:rPr>
                <w:b/>
              </w:rPr>
              <w:t>White Non-Hispanic</w:t>
            </w:r>
          </w:p>
        </w:tc>
      </w:tr>
      <w:tr w:rsidR="00BB5584" w14:paraId="09FFFF0C" w14:textId="77777777">
        <w:trPr>
          <w:cantSplit/>
        </w:trPr>
        <w:tc>
          <w:tcPr>
            <w:tcW w:w="1368" w:type="dxa"/>
            <w:vMerge/>
          </w:tcPr>
          <w:p w14:paraId="3EF3BA4F" w14:textId="77777777" w:rsidR="00BB5584" w:rsidRDefault="00BB5584">
            <w:pPr>
              <w:keepNext/>
              <w:widowControl w:val="0"/>
              <w:spacing w:after="0" w:line="240" w:lineRule="auto"/>
              <w:rPr>
                <w:b/>
              </w:rPr>
            </w:pPr>
          </w:p>
        </w:tc>
        <w:tc>
          <w:tcPr>
            <w:tcW w:w="1368" w:type="dxa"/>
            <w:vMerge/>
          </w:tcPr>
          <w:p w14:paraId="273F4DDB" w14:textId="77777777" w:rsidR="00BB5584" w:rsidRDefault="00BB5584">
            <w:pPr>
              <w:keepNext/>
              <w:widowControl w:val="0"/>
              <w:spacing w:after="0" w:line="240" w:lineRule="auto"/>
              <w:rPr>
                <w:b/>
              </w:rPr>
            </w:pPr>
          </w:p>
        </w:tc>
        <w:tc>
          <w:tcPr>
            <w:tcW w:w="1368" w:type="dxa"/>
          </w:tcPr>
          <w:p w14:paraId="429A8647" w14:textId="77777777" w:rsidR="00BB5584" w:rsidRDefault="00506586">
            <w:pPr>
              <w:keepNext/>
              <w:spacing w:after="0" w:line="240" w:lineRule="auto"/>
              <w:jc w:val="center"/>
              <w:rPr>
                <w:b/>
              </w:rPr>
            </w:pPr>
            <w:r>
              <w:rPr>
                <w:b/>
              </w:rPr>
              <w:t>Alaskan Native or American Indian</w:t>
            </w:r>
          </w:p>
        </w:tc>
        <w:tc>
          <w:tcPr>
            <w:tcW w:w="1368" w:type="dxa"/>
          </w:tcPr>
          <w:p w14:paraId="3D1E22B7" w14:textId="77777777" w:rsidR="00BB5584" w:rsidRDefault="00506586">
            <w:pPr>
              <w:keepNext/>
              <w:widowControl w:val="0"/>
              <w:spacing w:after="0" w:line="240" w:lineRule="auto"/>
              <w:jc w:val="center"/>
              <w:rPr>
                <w:b/>
              </w:rPr>
            </w:pPr>
            <w:r>
              <w:rPr>
                <w:b/>
              </w:rPr>
              <w:t>Asian or Pacific Islander</w:t>
            </w:r>
          </w:p>
        </w:tc>
        <w:tc>
          <w:tcPr>
            <w:tcW w:w="1368" w:type="dxa"/>
          </w:tcPr>
          <w:p w14:paraId="4826A6EA" w14:textId="77777777" w:rsidR="00BB5584" w:rsidRDefault="00506586">
            <w:pPr>
              <w:keepNext/>
              <w:widowControl w:val="0"/>
              <w:spacing w:after="0" w:line="240" w:lineRule="auto"/>
              <w:jc w:val="center"/>
              <w:rPr>
                <w:b/>
              </w:rPr>
            </w:pPr>
            <w:r>
              <w:rPr>
                <w:b/>
              </w:rPr>
              <w:t>Black Non-Hispanic</w:t>
            </w:r>
          </w:p>
        </w:tc>
        <w:tc>
          <w:tcPr>
            <w:tcW w:w="1368" w:type="dxa"/>
          </w:tcPr>
          <w:p w14:paraId="0DDE3015" w14:textId="77777777" w:rsidR="00BB5584" w:rsidRDefault="00506586">
            <w:pPr>
              <w:keepNext/>
              <w:widowControl w:val="0"/>
              <w:spacing w:after="0" w:line="240" w:lineRule="auto"/>
              <w:jc w:val="center"/>
              <w:rPr>
                <w:b/>
              </w:rPr>
            </w:pPr>
            <w:r>
              <w:rPr>
                <w:b/>
              </w:rPr>
              <w:t>Hispanic</w:t>
            </w:r>
          </w:p>
        </w:tc>
        <w:tc>
          <w:tcPr>
            <w:tcW w:w="1368" w:type="dxa"/>
            <w:vMerge/>
          </w:tcPr>
          <w:p w14:paraId="1FE75DA3" w14:textId="77777777" w:rsidR="00BB5584" w:rsidRDefault="00BB5584">
            <w:pPr>
              <w:keepNext/>
              <w:widowControl w:val="0"/>
              <w:spacing w:after="0" w:line="240" w:lineRule="auto"/>
              <w:jc w:val="center"/>
              <w:rPr>
                <w:b/>
              </w:rPr>
            </w:pPr>
          </w:p>
        </w:tc>
      </w:tr>
    </w:tbl>
    <w:p w14:paraId="3CE8381E" w14:textId="77777777" w:rsidR="00BB5584" w:rsidRDefault="00BB5584">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BB5584" w14:paraId="0B975DD9" w14:textId="77777777">
        <w:trPr>
          <w:cantSplit/>
        </w:trPr>
        <w:tc>
          <w:tcPr>
            <w:tcW w:w="9576" w:type="dxa"/>
            <w:gridSpan w:val="7"/>
          </w:tcPr>
          <w:p w14:paraId="33BD98B0" w14:textId="77777777" w:rsidR="00BB5584" w:rsidRDefault="00506586">
            <w:pPr>
              <w:keepNext/>
              <w:widowControl w:val="0"/>
              <w:spacing w:after="0" w:line="240" w:lineRule="auto"/>
              <w:rPr>
                <w:b/>
              </w:rPr>
            </w:pPr>
            <w:r>
              <w:rPr>
                <w:b/>
              </w:rPr>
              <w:t>Contracts</w:t>
            </w:r>
          </w:p>
        </w:tc>
      </w:tr>
      <w:tr w:rsidR="00BB5584" w14:paraId="643602F6" w14:textId="77777777">
        <w:trPr>
          <w:cantSplit/>
          <w:hidden/>
        </w:trPr>
        <w:tc>
          <w:tcPr>
            <w:tcW w:w="1368" w:type="dxa"/>
          </w:tcPr>
          <w:p w14:paraId="48F8135E" w14:textId="77777777" w:rsidR="00BB5584" w:rsidRDefault="00BB5584">
            <w:pPr>
              <w:keepNext/>
              <w:widowControl w:val="0"/>
              <w:spacing w:after="0" w:line="240" w:lineRule="auto"/>
              <w:rPr>
                <w:b/>
                <w:vanish/>
              </w:rPr>
            </w:pPr>
          </w:p>
        </w:tc>
        <w:tc>
          <w:tcPr>
            <w:tcW w:w="1368" w:type="dxa"/>
          </w:tcPr>
          <w:p w14:paraId="700BC633" w14:textId="77777777" w:rsidR="00BB5584" w:rsidRDefault="00BB5584">
            <w:pPr>
              <w:keepNext/>
              <w:widowControl w:val="0"/>
              <w:spacing w:after="0" w:line="240" w:lineRule="auto"/>
              <w:rPr>
                <w:b/>
                <w:vanish/>
              </w:rPr>
            </w:pPr>
          </w:p>
        </w:tc>
        <w:tc>
          <w:tcPr>
            <w:tcW w:w="1368" w:type="dxa"/>
          </w:tcPr>
          <w:p w14:paraId="0EBF968E" w14:textId="77777777" w:rsidR="00BB5584" w:rsidRDefault="00BB5584">
            <w:pPr>
              <w:keepNext/>
              <w:widowControl w:val="0"/>
              <w:spacing w:after="0" w:line="240" w:lineRule="auto"/>
              <w:rPr>
                <w:b/>
                <w:vanish/>
              </w:rPr>
            </w:pPr>
          </w:p>
        </w:tc>
        <w:tc>
          <w:tcPr>
            <w:tcW w:w="1368" w:type="dxa"/>
          </w:tcPr>
          <w:p w14:paraId="66FF7B28" w14:textId="77777777" w:rsidR="00BB5584" w:rsidRDefault="00BB5584">
            <w:pPr>
              <w:keepNext/>
              <w:widowControl w:val="0"/>
              <w:spacing w:after="0" w:line="240" w:lineRule="auto"/>
              <w:rPr>
                <w:b/>
                <w:vanish/>
              </w:rPr>
            </w:pPr>
          </w:p>
        </w:tc>
        <w:tc>
          <w:tcPr>
            <w:tcW w:w="1368" w:type="dxa"/>
          </w:tcPr>
          <w:p w14:paraId="7224A8DC" w14:textId="77777777" w:rsidR="00BB5584" w:rsidRDefault="00BB5584">
            <w:pPr>
              <w:keepNext/>
              <w:widowControl w:val="0"/>
              <w:spacing w:after="0" w:line="240" w:lineRule="auto"/>
              <w:rPr>
                <w:b/>
                <w:vanish/>
              </w:rPr>
            </w:pPr>
          </w:p>
        </w:tc>
        <w:tc>
          <w:tcPr>
            <w:tcW w:w="1368" w:type="dxa"/>
          </w:tcPr>
          <w:p w14:paraId="036EFF61" w14:textId="77777777" w:rsidR="00BB5584" w:rsidRDefault="00BB5584">
            <w:pPr>
              <w:keepNext/>
              <w:widowControl w:val="0"/>
              <w:spacing w:after="0" w:line="240" w:lineRule="auto"/>
              <w:rPr>
                <w:b/>
                <w:vanish/>
              </w:rPr>
            </w:pPr>
          </w:p>
        </w:tc>
        <w:tc>
          <w:tcPr>
            <w:tcW w:w="1368" w:type="dxa"/>
          </w:tcPr>
          <w:p w14:paraId="5447DEAA" w14:textId="77777777" w:rsidR="00BB5584" w:rsidRDefault="00BB5584">
            <w:pPr>
              <w:keepNext/>
              <w:widowControl w:val="0"/>
              <w:spacing w:after="0" w:line="240" w:lineRule="auto"/>
              <w:rPr>
                <w:b/>
                <w:vanish/>
              </w:rPr>
            </w:pPr>
          </w:p>
        </w:tc>
      </w:tr>
      <w:tr w:rsidR="00BB5584" w14:paraId="3B103206" w14:textId="77777777">
        <w:trPr>
          <w:cantSplit/>
        </w:trPr>
        <w:tc>
          <w:tcPr>
            <w:tcW w:w="1370" w:type="dxa"/>
          </w:tcPr>
          <w:p w14:paraId="071C8418" w14:textId="77777777" w:rsidR="00BB5584" w:rsidRDefault="00506586">
            <w:pPr>
              <w:spacing w:beforeAutospacing="1" w:afterAutospacing="1"/>
            </w:pPr>
            <w:r>
              <w:rPr>
                <w:color w:val="000000"/>
              </w:rPr>
              <w:t>Dollar Amount</w:t>
            </w:r>
          </w:p>
        </w:tc>
        <w:tc>
          <w:tcPr>
            <w:tcW w:w="1370" w:type="dxa"/>
            <w:vAlign w:val="bottom"/>
          </w:tcPr>
          <w:p w14:paraId="6C042F55" w14:textId="77777777" w:rsidR="00BB5584" w:rsidRDefault="00506586">
            <w:pPr>
              <w:spacing w:beforeAutospacing="1" w:afterAutospacing="1"/>
              <w:jc w:val="right"/>
            </w:pPr>
            <w:r>
              <w:rPr>
                <w:color w:val="000000"/>
              </w:rPr>
              <w:t>0</w:t>
            </w:r>
          </w:p>
        </w:tc>
        <w:tc>
          <w:tcPr>
            <w:tcW w:w="1370" w:type="dxa"/>
            <w:vAlign w:val="bottom"/>
          </w:tcPr>
          <w:p w14:paraId="7798CCEE" w14:textId="77777777" w:rsidR="00BB5584" w:rsidRDefault="00506586">
            <w:pPr>
              <w:spacing w:beforeAutospacing="1" w:afterAutospacing="1"/>
              <w:jc w:val="right"/>
            </w:pPr>
            <w:r>
              <w:rPr>
                <w:color w:val="000000"/>
              </w:rPr>
              <w:t>0</w:t>
            </w:r>
          </w:p>
        </w:tc>
        <w:tc>
          <w:tcPr>
            <w:tcW w:w="1370" w:type="dxa"/>
            <w:vAlign w:val="bottom"/>
          </w:tcPr>
          <w:p w14:paraId="3BFACCCF" w14:textId="77777777" w:rsidR="00BB5584" w:rsidRDefault="00506586">
            <w:pPr>
              <w:spacing w:beforeAutospacing="1" w:afterAutospacing="1"/>
              <w:jc w:val="right"/>
            </w:pPr>
            <w:r>
              <w:rPr>
                <w:color w:val="000000"/>
              </w:rPr>
              <w:t>0</w:t>
            </w:r>
          </w:p>
        </w:tc>
        <w:tc>
          <w:tcPr>
            <w:tcW w:w="1370" w:type="dxa"/>
            <w:vAlign w:val="bottom"/>
          </w:tcPr>
          <w:p w14:paraId="1F8FEEE7" w14:textId="77777777" w:rsidR="00BB5584" w:rsidRDefault="00506586">
            <w:pPr>
              <w:spacing w:beforeAutospacing="1" w:afterAutospacing="1"/>
              <w:jc w:val="right"/>
            </w:pPr>
            <w:r>
              <w:rPr>
                <w:color w:val="000000"/>
              </w:rPr>
              <w:t>0</w:t>
            </w:r>
          </w:p>
        </w:tc>
        <w:tc>
          <w:tcPr>
            <w:tcW w:w="1370" w:type="dxa"/>
            <w:vAlign w:val="bottom"/>
          </w:tcPr>
          <w:p w14:paraId="6FCCD541" w14:textId="77777777" w:rsidR="00BB5584" w:rsidRDefault="00506586">
            <w:pPr>
              <w:spacing w:beforeAutospacing="1" w:afterAutospacing="1"/>
              <w:jc w:val="right"/>
            </w:pPr>
            <w:r>
              <w:rPr>
                <w:color w:val="000000"/>
              </w:rPr>
              <w:t>0</w:t>
            </w:r>
          </w:p>
        </w:tc>
        <w:tc>
          <w:tcPr>
            <w:tcW w:w="1370" w:type="dxa"/>
            <w:vAlign w:val="bottom"/>
          </w:tcPr>
          <w:p w14:paraId="201E0771" w14:textId="77777777" w:rsidR="00BB5584" w:rsidRDefault="00506586">
            <w:pPr>
              <w:spacing w:beforeAutospacing="1" w:afterAutospacing="1"/>
              <w:jc w:val="right"/>
            </w:pPr>
            <w:r>
              <w:rPr>
                <w:color w:val="000000"/>
              </w:rPr>
              <w:t>0</w:t>
            </w:r>
          </w:p>
        </w:tc>
      </w:tr>
      <w:tr w:rsidR="00BB5584" w14:paraId="64BC6D1A" w14:textId="77777777">
        <w:trPr>
          <w:cantSplit/>
        </w:trPr>
        <w:tc>
          <w:tcPr>
            <w:tcW w:w="1370" w:type="dxa"/>
          </w:tcPr>
          <w:p w14:paraId="775BDDF4" w14:textId="77777777" w:rsidR="00BB5584" w:rsidRDefault="00506586">
            <w:pPr>
              <w:spacing w:beforeAutospacing="1" w:afterAutospacing="1"/>
            </w:pPr>
            <w:r>
              <w:rPr>
                <w:color w:val="000000"/>
              </w:rPr>
              <w:t>Number</w:t>
            </w:r>
          </w:p>
        </w:tc>
        <w:tc>
          <w:tcPr>
            <w:tcW w:w="1370" w:type="dxa"/>
            <w:vAlign w:val="bottom"/>
          </w:tcPr>
          <w:p w14:paraId="1A5EC850" w14:textId="77777777" w:rsidR="00BB5584" w:rsidRDefault="00506586">
            <w:pPr>
              <w:spacing w:beforeAutospacing="1" w:afterAutospacing="1"/>
              <w:jc w:val="right"/>
            </w:pPr>
            <w:r>
              <w:rPr>
                <w:color w:val="000000"/>
              </w:rPr>
              <w:t>0</w:t>
            </w:r>
          </w:p>
        </w:tc>
        <w:tc>
          <w:tcPr>
            <w:tcW w:w="1370" w:type="dxa"/>
            <w:vAlign w:val="bottom"/>
          </w:tcPr>
          <w:p w14:paraId="4137637A" w14:textId="77777777" w:rsidR="00BB5584" w:rsidRDefault="00506586">
            <w:pPr>
              <w:spacing w:beforeAutospacing="1" w:afterAutospacing="1"/>
              <w:jc w:val="right"/>
            </w:pPr>
            <w:r>
              <w:rPr>
                <w:color w:val="000000"/>
              </w:rPr>
              <w:t>0</w:t>
            </w:r>
          </w:p>
        </w:tc>
        <w:tc>
          <w:tcPr>
            <w:tcW w:w="1370" w:type="dxa"/>
            <w:vAlign w:val="bottom"/>
          </w:tcPr>
          <w:p w14:paraId="04F024ED" w14:textId="77777777" w:rsidR="00BB5584" w:rsidRDefault="00506586">
            <w:pPr>
              <w:spacing w:beforeAutospacing="1" w:afterAutospacing="1"/>
              <w:jc w:val="right"/>
            </w:pPr>
            <w:r>
              <w:rPr>
                <w:color w:val="000000"/>
              </w:rPr>
              <w:t>0</w:t>
            </w:r>
          </w:p>
        </w:tc>
        <w:tc>
          <w:tcPr>
            <w:tcW w:w="1370" w:type="dxa"/>
            <w:vAlign w:val="bottom"/>
          </w:tcPr>
          <w:p w14:paraId="0BC55744" w14:textId="77777777" w:rsidR="00BB5584" w:rsidRDefault="00506586">
            <w:pPr>
              <w:spacing w:beforeAutospacing="1" w:afterAutospacing="1"/>
              <w:jc w:val="right"/>
            </w:pPr>
            <w:r>
              <w:rPr>
                <w:color w:val="000000"/>
              </w:rPr>
              <w:t>0</w:t>
            </w:r>
          </w:p>
        </w:tc>
        <w:tc>
          <w:tcPr>
            <w:tcW w:w="1370" w:type="dxa"/>
            <w:vAlign w:val="bottom"/>
          </w:tcPr>
          <w:p w14:paraId="2CB183E7" w14:textId="77777777" w:rsidR="00BB5584" w:rsidRDefault="00506586">
            <w:pPr>
              <w:spacing w:beforeAutospacing="1" w:afterAutospacing="1"/>
              <w:jc w:val="right"/>
            </w:pPr>
            <w:r>
              <w:rPr>
                <w:color w:val="000000"/>
              </w:rPr>
              <w:t>0</w:t>
            </w:r>
          </w:p>
        </w:tc>
        <w:tc>
          <w:tcPr>
            <w:tcW w:w="1370" w:type="dxa"/>
            <w:vAlign w:val="bottom"/>
          </w:tcPr>
          <w:p w14:paraId="311DF13D" w14:textId="77777777" w:rsidR="00BB5584" w:rsidRDefault="00506586">
            <w:pPr>
              <w:spacing w:beforeAutospacing="1" w:afterAutospacing="1"/>
              <w:jc w:val="right"/>
            </w:pPr>
            <w:r>
              <w:rPr>
                <w:color w:val="000000"/>
              </w:rPr>
              <w:t>0</w:t>
            </w:r>
          </w:p>
        </w:tc>
      </w:tr>
    </w:tbl>
    <w:p w14:paraId="2BB26446" w14:textId="77777777" w:rsidR="00BB5584" w:rsidRDefault="00BB5584">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BB5584" w14:paraId="0782F1B3" w14:textId="77777777">
        <w:trPr>
          <w:cantSplit/>
        </w:trPr>
        <w:tc>
          <w:tcPr>
            <w:tcW w:w="9576" w:type="dxa"/>
            <w:gridSpan w:val="7"/>
          </w:tcPr>
          <w:p w14:paraId="75BDA57F" w14:textId="77777777" w:rsidR="00BB5584" w:rsidRDefault="00506586">
            <w:pPr>
              <w:keepNext/>
              <w:widowControl w:val="0"/>
              <w:spacing w:after="0" w:line="240" w:lineRule="auto"/>
              <w:rPr>
                <w:b/>
              </w:rPr>
            </w:pPr>
            <w:r>
              <w:rPr>
                <w:b/>
              </w:rPr>
              <w:t>Sub-Contracts</w:t>
            </w:r>
          </w:p>
        </w:tc>
      </w:tr>
      <w:tr w:rsidR="00BB5584" w14:paraId="36871645" w14:textId="77777777">
        <w:trPr>
          <w:cantSplit/>
          <w:hidden/>
        </w:trPr>
        <w:tc>
          <w:tcPr>
            <w:tcW w:w="1368" w:type="dxa"/>
          </w:tcPr>
          <w:p w14:paraId="457F1D8B" w14:textId="77777777" w:rsidR="00BB5584" w:rsidRDefault="00BB5584">
            <w:pPr>
              <w:keepNext/>
              <w:widowControl w:val="0"/>
              <w:spacing w:after="0" w:line="240" w:lineRule="auto"/>
              <w:rPr>
                <w:b/>
                <w:vanish/>
              </w:rPr>
            </w:pPr>
          </w:p>
        </w:tc>
        <w:tc>
          <w:tcPr>
            <w:tcW w:w="1368" w:type="dxa"/>
          </w:tcPr>
          <w:p w14:paraId="389D3C35" w14:textId="77777777" w:rsidR="00BB5584" w:rsidRDefault="00BB5584">
            <w:pPr>
              <w:keepNext/>
              <w:widowControl w:val="0"/>
              <w:spacing w:after="0" w:line="240" w:lineRule="auto"/>
              <w:rPr>
                <w:b/>
                <w:vanish/>
              </w:rPr>
            </w:pPr>
          </w:p>
        </w:tc>
        <w:tc>
          <w:tcPr>
            <w:tcW w:w="1368" w:type="dxa"/>
          </w:tcPr>
          <w:p w14:paraId="031B8783" w14:textId="77777777" w:rsidR="00BB5584" w:rsidRDefault="00BB5584">
            <w:pPr>
              <w:keepNext/>
              <w:widowControl w:val="0"/>
              <w:spacing w:after="0" w:line="240" w:lineRule="auto"/>
              <w:rPr>
                <w:b/>
                <w:vanish/>
              </w:rPr>
            </w:pPr>
          </w:p>
        </w:tc>
        <w:tc>
          <w:tcPr>
            <w:tcW w:w="1368" w:type="dxa"/>
          </w:tcPr>
          <w:p w14:paraId="522A604A" w14:textId="77777777" w:rsidR="00BB5584" w:rsidRDefault="00BB5584">
            <w:pPr>
              <w:keepNext/>
              <w:widowControl w:val="0"/>
              <w:spacing w:after="0" w:line="240" w:lineRule="auto"/>
              <w:rPr>
                <w:b/>
                <w:vanish/>
              </w:rPr>
            </w:pPr>
          </w:p>
        </w:tc>
        <w:tc>
          <w:tcPr>
            <w:tcW w:w="1368" w:type="dxa"/>
          </w:tcPr>
          <w:p w14:paraId="3EBCDD76" w14:textId="77777777" w:rsidR="00BB5584" w:rsidRDefault="00BB5584">
            <w:pPr>
              <w:keepNext/>
              <w:widowControl w:val="0"/>
              <w:spacing w:after="0" w:line="240" w:lineRule="auto"/>
              <w:rPr>
                <w:b/>
                <w:vanish/>
              </w:rPr>
            </w:pPr>
          </w:p>
        </w:tc>
        <w:tc>
          <w:tcPr>
            <w:tcW w:w="1368" w:type="dxa"/>
          </w:tcPr>
          <w:p w14:paraId="6E88DBE5" w14:textId="77777777" w:rsidR="00BB5584" w:rsidRDefault="00BB5584">
            <w:pPr>
              <w:keepNext/>
              <w:widowControl w:val="0"/>
              <w:spacing w:after="0" w:line="240" w:lineRule="auto"/>
              <w:rPr>
                <w:b/>
                <w:vanish/>
              </w:rPr>
            </w:pPr>
          </w:p>
        </w:tc>
        <w:tc>
          <w:tcPr>
            <w:tcW w:w="1368" w:type="dxa"/>
          </w:tcPr>
          <w:p w14:paraId="1368CCD7" w14:textId="77777777" w:rsidR="00BB5584" w:rsidRDefault="00BB5584">
            <w:pPr>
              <w:keepNext/>
              <w:widowControl w:val="0"/>
              <w:spacing w:after="0" w:line="240" w:lineRule="auto"/>
              <w:rPr>
                <w:b/>
                <w:vanish/>
              </w:rPr>
            </w:pPr>
          </w:p>
        </w:tc>
      </w:tr>
      <w:tr w:rsidR="00BB5584" w14:paraId="44AF746A" w14:textId="77777777">
        <w:trPr>
          <w:cantSplit/>
        </w:trPr>
        <w:tc>
          <w:tcPr>
            <w:tcW w:w="1370" w:type="dxa"/>
          </w:tcPr>
          <w:p w14:paraId="776E1773" w14:textId="77777777" w:rsidR="00BB5584" w:rsidRDefault="00506586">
            <w:pPr>
              <w:spacing w:beforeAutospacing="1" w:afterAutospacing="1"/>
            </w:pPr>
            <w:r>
              <w:rPr>
                <w:color w:val="000000"/>
              </w:rPr>
              <w:t>Number</w:t>
            </w:r>
          </w:p>
        </w:tc>
        <w:tc>
          <w:tcPr>
            <w:tcW w:w="1370" w:type="dxa"/>
            <w:vAlign w:val="bottom"/>
          </w:tcPr>
          <w:p w14:paraId="5586946E" w14:textId="77777777" w:rsidR="00BB5584" w:rsidRDefault="00506586">
            <w:pPr>
              <w:spacing w:beforeAutospacing="1" w:afterAutospacing="1"/>
              <w:jc w:val="right"/>
            </w:pPr>
            <w:r>
              <w:rPr>
                <w:color w:val="000000"/>
              </w:rPr>
              <w:t>0</w:t>
            </w:r>
          </w:p>
        </w:tc>
        <w:tc>
          <w:tcPr>
            <w:tcW w:w="1370" w:type="dxa"/>
            <w:vAlign w:val="bottom"/>
          </w:tcPr>
          <w:p w14:paraId="26F93154" w14:textId="77777777" w:rsidR="00BB5584" w:rsidRDefault="00506586">
            <w:pPr>
              <w:spacing w:beforeAutospacing="1" w:afterAutospacing="1"/>
              <w:jc w:val="right"/>
            </w:pPr>
            <w:r>
              <w:rPr>
                <w:color w:val="000000"/>
              </w:rPr>
              <w:t>0</w:t>
            </w:r>
          </w:p>
        </w:tc>
        <w:tc>
          <w:tcPr>
            <w:tcW w:w="1370" w:type="dxa"/>
            <w:vAlign w:val="bottom"/>
          </w:tcPr>
          <w:p w14:paraId="40E63689" w14:textId="77777777" w:rsidR="00BB5584" w:rsidRDefault="00506586">
            <w:pPr>
              <w:spacing w:beforeAutospacing="1" w:afterAutospacing="1"/>
              <w:jc w:val="right"/>
            </w:pPr>
            <w:r>
              <w:rPr>
                <w:color w:val="000000"/>
              </w:rPr>
              <w:t>0</w:t>
            </w:r>
          </w:p>
        </w:tc>
        <w:tc>
          <w:tcPr>
            <w:tcW w:w="1370" w:type="dxa"/>
            <w:vAlign w:val="bottom"/>
          </w:tcPr>
          <w:p w14:paraId="5AC7097F" w14:textId="77777777" w:rsidR="00BB5584" w:rsidRDefault="00506586">
            <w:pPr>
              <w:spacing w:beforeAutospacing="1" w:afterAutospacing="1"/>
              <w:jc w:val="right"/>
            </w:pPr>
            <w:r>
              <w:rPr>
                <w:color w:val="000000"/>
              </w:rPr>
              <w:t>0</w:t>
            </w:r>
          </w:p>
        </w:tc>
        <w:tc>
          <w:tcPr>
            <w:tcW w:w="1370" w:type="dxa"/>
            <w:vAlign w:val="bottom"/>
          </w:tcPr>
          <w:p w14:paraId="20C44446" w14:textId="77777777" w:rsidR="00BB5584" w:rsidRDefault="00506586">
            <w:pPr>
              <w:spacing w:beforeAutospacing="1" w:afterAutospacing="1"/>
              <w:jc w:val="right"/>
            </w:pPr>
            <w:r>
              <w:rPr>
                <w:color w:val="000000"/>
              </w:rPr>
              <w:t>0</w:t>
            </w:r>
          </w:p>
        </w:tc>
        <w:tc>
          <w:tcPr>
            <w:tcW w:w="1370" w:type="dxa"/>
            <w:vAlign w:val="bottom"/>
          </w:tcPr>
          <w:p w14:paraId="247C03EE" w14:textId="77777777" w:rsidR="00BB5584" w:rsidRDefault="00506586">
            <w:pPr>
              <w:spacing w:beforeAutospacing="1" w:afterAutospacing="1"/>
              <w:jc w:val="right"/>
            </w:pPr>
            <w:r>
              <w:rPr>
                <w:color w:val="000000"/>
              </w:rPr>
              <w:t>0</w:t>
            </w:r>
          </w:p>
        </w:tc>
      </w:tr>
      <w:tr w:rsidR="00BB5584" w14:paraId="37F386C7" w14:textId="77777777">
        <w:trPr>
          <w:cantSplit/>
        </w:trPr>
        <w:tc>
          <w:tcPr>
            <w:tcW w:w="1370" w:type="dxa"/>
          </w:tcPr>
          <w:p w14:paraId="1A11CDC4" w14:textId="77777777" w:rsidR="00BB5584" w:rsidRDefault="00506586">
            <w:pPr>
              <w:spacing w:beforeAutospacing="1" w:afterAutospacing="1"/>
            </w:pPr>
            <w:r>
              <w:rPr>
                <w:color w:val="000000"/>
              </w:rPr>
              <w:t>Dollar Amount</w:t>
            </w:r>
          </w:p>
        </w:tc>
        <w:tc>
          <w:tcPr>
            <w:tcW w:w="1370" w:type="dxa"/>
            <w:vAlign w:val="bottom"/>
          </w:tcPr>
          <w:p w14:paraId="380FA814" w14:textId="77777777" w:rsidR="00BB5584" w:rsidRDefault="00506586">
            <w:pPr>
              <w:spacing w:beforeAutospacing="1" w:afterAutospacing="1"/>
              <w:jc w:val="right"/>
            </w:pPr>
            <w:r>
              <w:rPr>
                <w:color w:val="000000"/>
              </w:rPr>
              <w:t>0</w:t>
            </w:r>
          </w:p>
        </w:tc>
        <w:tc>
          <w:tcPr>
            <w:tcW w:w="1370" w:type="dxa"/>
            <w:vAlign w:val="bottom"/>
          </w:tcPr>
          <w:p w14:paraId="4BAFD2DE" w14:textId="77777777" w:rsidR="00BB5584" w:rsidRDefault="00506586">
            <w:pPr>
              <w:spacing w:beforeAutospacing="1" w:afterAutospacing="1"/>
              <w:jc w:val="right"/>
            </w:pPr>
            <w:r>
              <w:rPr>
                <w:color w:val="000000"/>
              </w:rPr>
              <w:t>0</w:t>
            </w:r>
          </w:p>
        </w:tc>
        <w:tc>
          <w:tcPr>
            <w:tcW w:w="1370" w:type="dxa"/>
            <w:vAlign w:val="bottom"/>
          </w:tcPr>
          <w:p w14:paraId="3339730E" w14:textId="77777777" w:rsidR="00BB5584" w:rsidRDefault="00506586">
            <w:pPr>
              <w:spacing w:beforeAutospacing="1" w:afterAutospacing="1"/>
              <w:jc w:val="right"/>
            </w:pPr>
            <w:r>
              <w:rPr>
                <w:color w:val="000000"/>
              </w:rPr>
              <w:t>0</w:t>
            </w:r>
          </w:p>
        </w:tc>
        <w:tc>
          <w:tcPr>
            <w:tcW w:w="1370" w:type="dxa"/>
            <w:vAlign w:val="bottom"/>
          </w:tcPr>
          <w:p w14:paraId="3DFFA2D9" w14:textId="77777777" w:rsidR="00BB5584" w:rsidRDefault="00506586">
            <w:pPr>
              <w:spacing w:beforeAutospacing="1" w:afterAutospacing="1"/>
              <w:jc w:val="right"/>
            </w:pPr>
            <w:r>
              <w:rPr>
                <w:color w:val="000000"/>
              </w:rPr>
              <w:t>0</w:t>
            </w:r>
          </w:p>
        </w:tc>
        <w:tc>
          <w:tcPr>
            <w:tcW w:w="1370" w:type="dxa"/>
            <w:vAlign w:val="bottom"/>
          </w:tcPr>
          <w:p w14:paraId="1317329B" w14:textId="77777777" w:rsidR="00BB5584" w:rsidRDefault="00506586">
            <w:pPr>
              <w:spacing w:beforeAutospacing="1" w:afterAutospacing="1"/>
              <w:jc w:val="right"/>
            </w:pPr>
            <w:r>
              <w:rPr>
                <w:color w:val="000000"/>
              </w:rPr>
              <w:t>0</w:t>
            </w:r>
          </w:p>
        </w:tc>
        <w:tc>
          <w:tcPr>
            <w:tcW w:w="1370" w:type="dxa"/>
            <w:vAlign w:val="bottom"/>
          </w:tcPr>
          <w:p w14:paraId="7BFD1AA1" w14:textId="77777777" w:rsidR="00BB5584" w:rsidRDefault="00506586">
            <w:pPr>
              <w:spacing w:beforeAutospacing="1" w:afterAutospacing="1"/>
              <w:jc w:val="right"/>
            </w:pPr>
            <w:r>
              <w:rPr>
                <w:color w:val="000000"/>
              </w:rPr>
              <w:t>0</w:t>
            </w:r>
          </w:p>
        </w:tc>
      </w:tr>
    </w:tbl>
    <w:p w14:paraId="1486568A" w14:textId="77777777" w:rsidR="00BB5584" w:rsidRDefault="00BB5584">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7"/>
        <w:gridCol w:w="1337"/>
        <w:gridCol w:w="1337"/>
        <w:gridCol w:w="1337"/>
      </w:tblGrid>
      <w:tr w:rsidR="00BB5584" w14:paraId="5B959F2F" w14:textId="77777777">
        <w:trPr>
          <w:cantSplit/>
        </w:trPr>
        <w:tc>
          <w:tcPr>
            <w:tcW w:w="1394" w:type="dxa"/>
          </w:tcPr>
          <w:p w14:paraId="00B2A23C" w14:textId="77777777" w:rsidR="00BB5584" w:rsidRDefault="00BB5584">
            <w:pPr>
              <w:keepNext/>
              <w:widowControl w:val="0"/>
              <w:spacing w:after="0" w:line="240" w:lineRule="auto"/>
              <w:rPr>
                <w:b/>
              </w:rPr>
            </w:pPr>
          </w:p>
        </w:tc>
        <w:tc>
          <w:tcPr>
            <w:tcW w:w="1393" w:type="dxa"/>
          </w:tcPr>
          <w:p w14:paraId="600690D1" w14:textId="77777777" w:rsidR="00BB5584" w:rsidRDefault="00506586">
            <w:pPr>
              <w:keepNext/>
              <w:widowControl w:val="0"/>
              <w:spacing w:after="0" w:line="240" w:lineRule="auto"/>
              <w:jc w:val="center"/>
              <w:rPr>
                <w:b/>
              </w:rPr>
            </w:pPr>
            <w:r>
              <w:rPr>
                <w:b/>
              </w:rPr>
              <w:t>Total</w:t>
            </w:r>
          </w:p>
        </w:tc>
        <w:tc>
          <w:tcPr>
            <w:tcW w:w="1393" w:type="dxa"/>
          </w:tcPr>
          <w:p w14:paraId="76EE8488" w14:textId="77777777" w:rsidR="00BB5584" w:rsidRDefault="00506586">
            <w:pPr>
              <w:keepNext/>
              <w:widowControl w:val="0"/>
              <w:spacing w:after="0" w:line="240" w:lineRule="auto"/>
              <w:jc w:val="center"/>
              <w:rPr>
                <w:b/>
                <w:szCs w:val="24"/>
              </w:rPr>
            </w:pPr>
            <w:r>
              <w:rPr>
                <w:b/>
              </w:rPr>
              <w:t>Women Business Enterprises</w:t>
            </w:r>
          </w:p>
        </w:tc>
        <w:tc>
          <w:tcPr>
            <w:tcW w:w="1393" w:type="dxa"/>
          </w:tcPr>
          <w:p w14:paraId="375F3C35" w14:textId="77777777" w:rsidR="00BB5584" w:rsidRDefault="00506586">
            <w:pPr>
              <w:keepNext/>
              <w:widowControl w:val="0"/>
              <w:spacing w:after="0" w:line="240" w:lineRule="auto"/>
              <w:jc w:val="center"/>
              <w:rPr>
                <w:b/>
                <w:szCs w:val="24"/>
              </w:rPr>
            </w:pPr>
            <w:r>
              <w:rPr>
                <w:b/>
              </w:rPr>
              <w:t>Male</w:t>
            </w:r>
          </w:p>
        </w:tc>
      </w:tr>
    </w:tbl>
    <w:p w14:paraId="1608B76D" w14:textId="77777777" w:rsidR="00BB5584" w:rsidRDefault="00BB5584">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BB5584" w14:paraId="0B1DC4F9" w14:textId="77777777">
        <w:trPr>
          <w:cantSplit/>
        </w:trPr>
        <w:tc>
          <w:tcPr>
            <w:tcW w:w="5485" w:type="dxa"/>
            <w:gridSpan w:val="4"/>
          </w:tcPr>
          <w:p w14:paraId="677192E8" w14:textId="77777777" w:rsidR="00BB5584" w:rsidRDefault="00506586">
            <w:pPr>
              <w:keepNext/>
              <w:widowControl w:val="0"/>
              <w:spacing w:after="0" w:line="240" w:lineRule="auto"/>
              <w:rPr>
                <w:b/>
              </w:rPr>
            </w:pPr>
            <w:r>
              <w:rPr>
                <w:b/>
              </w:rPr>
              <w:t>Contracts</w:t>
            </w:r>
          </w:p>
        </w:tc>
      </w:tr>
      <w:tr w:rsidR="00BB5584" w14:paraId="7523FCAE" w14:textId="77777777">
        <w:trPr>
          <w:cantSplit/>
          <w:hidden/>
        </w:trPr>
        <w:tc>
          <w:tcPr>
            <w:tcW w:w="1393" w:type="dxa"/>
          </w:tcPr>
          <w:p w14:paraId="101A2D25" w14:textId="77777777" w:rsidR="00BB5584" w:rsidRDefault="00BB5584">
            <w:pPr>
              <w:keepNext/>
              <w:widowControl w:val="0"/>
              <w:spacing w:after="0" w:line="240" w:lineRule="auto"/>
              <w:rPr>
                <w:b/>
                <w:vanish/>
              </w:rPr>
            </w:pPr>
          </w:p>
        </w:tc>
        <w:tc>
          <w:tcPr>
            <w:tcW w:w="1364" w:type="dxa"/>
          </w:tcPr>
          <w:p w14:paraId="5742B01E" w14:textId="77777777" w:rsidR="00BB5584" w:rsidRDefault="00BB5584">
            <w:pPr>
              <w:keepNext/>
              <w:widowControl w:val="0"/>
              <w:spacing w:after="0" w:line="240" w:lineRule="auto"/>
              <w:rPr>
                <w:b/>
                <w:vanish/>
              </w:rPr>
            </w:pPr>
          </w:p>
        </w:tc>
        <w:tc>
          <w:tcPr>
            <w:tcW w:w="1364" w:type="dxa"/>
          </w:tcPr>
          <w:p w14:paraId="346B5A46" w14:textId="77777777" w:rsidR="00BB5584" w:rsidRDefault="00BB5584">
            <w:pPr>
              <w:keepNext/>
              <w:widowControl w:val="0"/>
              <w:spacing w:after="0" w:line="240" w:lineRule="auto"/>
              <w:rPr>
                <w:b/>
                <w:vanish/>
              </w:rPr>
            </w:pPr>
          </w:p>
        </w:tc>
        <w:tc>
          <w:tcPr>
            <w:tcW w:w="1364" w:type="dxa"/>
          </w:tcPr>
          <w:p w14:paraId="1572EE13" w14:textId="77777777" w:rsidR="00BB5584" w:rsidRDefault="00BB5584">
            <w:pPr>
              <w:keepNext/>
              <w:widowControl w:val="0"/>
              <w:spacing w:after="0" w:line="240" w:lineRule="auto"/>
              <w:rPr>
                <w:b/>
                <w:vanish/>
              </w:rPr>
            </w:pPr>
          </w:p>
        </w:tc>
      </w:tr>
      <w:tr w:rsidR="00BB5584" w14:paraId="0A53F48A" w14:textId="77777777">
        <w:trPr>
          <w:cantSplit/>
        </w:trPr>
        <w:tc>
          <w:tcPr>
            <w:tcW w:w="1393" w:type="dxa"/>
          </w:tcPr>
          <w:p w14:paraId="00A19EBE" w14:textId="77777777" w:rsidR="00BB5584" w:rsidRDefault="00506586">
            <w:pPr>
              <w:spacing w:beforeAutospacing="1" w:afterAutospacing="1"/>
            </w:pPr>
            <w:r>
              <w:rPr>
                <w:color w:val="000000"/>
              </w:rPr>
              <w:t>Dollar Amount</w:t>
            </w:r>
          </w:p>
        </w:tc>
        <w:tc>
          <w:tcPr>
            <w:tcW w:w="1364" w:type="dxa"/>
            <w:vAlign w:val="bottom"/>
          </w:tcPr>
          <w:p w14:paraId="5353987E" w14:textId="77777777" w:rsidR="00BB5584" w:rsidRDefault="00506586">
            <w:pPr>
              <w:spacing w:beforeAutospacing="1" w:afterAutospacing="1"/>
              <w:jc w:val="right"/>
            </w:pPr>
            <w:r>
              <w:rPr>
                <w:color w:val="000000"/>
              </w:rPr>
              <w:t>0</w:t>
            </w:r>
          </w:p>
        </w:tc>
        <w:tc>
          <w:tcPr>
            <w:tcW w:w="1364" w:type="dxa"/>
            <w:vAlign w:val="bottom"/>
          </w:tcPr>
          <w:p w14:paraId="490DFFD4" w14:textId="77777777" w:rsidR="00BB5584" w:rsidRDefault="00506586">
            <w:pPr>
              <w:spacing w:beforeAutospacing="1" w:afterAutospacing="1"/>
              <w:jc w:val="right"/>
            </w:pPr>
            <w:r>
              <w:rPr>
                <w:color w:val="000000"/>
              </w:rPr>
              <w:t>0</w:t>
            </w:r>
          </w:p>
        </w:tc>
        <w:tc>
          <w:tcPr>
            <w:tcW w:w="1364" w:type="dxa"/>
            <w:vAlign w:val="bottom"/>
          </w:tcPr>
          <w:p w14:paraId="391C3617" w14:textId="77777777" w:rsidR="00BB5584" w:rsidRDefault="00506586">
            <w:pPr>
              <w:spacing w:beforeAutospacing="1" w:afterAutospacing="1"/>
              <w:jc w:val="right"/>
            </w:pPr>
            <w:r>
              <w:rPr>
                <w:color w:val="000000"/>
              </w:rPr>
              <w:t>0</w:t>
            </w:r>
          </w:p>
        </w:tc>
      </w:tr>
      <w:tr w:rsidR="00BB5584" w14:paraId="74248E61" w14:textId="77777777">
        <w:trPr>
          <w:cantSplit/>
        </w:trPr>
        <w:tc>
          <w:tcPr>
            <w:tcW w:w="1393" w:type="dxa"/>
          </w:tcPr>
          <w:p w14:paraId="51D8FFFD" w14:textId="77777777" w:rsidR="00BB5584" w:rsidRDefault="00506586">
            <w:pPr>
              <w:spacing w:beforeAutospacing="1" w:afterAutospacing="1"/>
            </w:pPr>
            <w:r>
              <w:rPr>
                <w:color w:val="000000"/>
              </w:rPr>
              <w:t>Number</w:t>
            </w:r>
          </w:p>
        </w:tc>
        <w:tc>
          <w:tcPr>
            <w:tcW w:w="1364" w:type="dxa"/>
            <w:vAlign w:val="bottom"/>
          </w:tcPr>
          <w:p w14:paraId="0CE16D0C" w14:textId="77777777" w:rsidR="00BB5584" w:rsidRDefault="00506586">
            <w:pPr>
              <w:spacing w:beforeAutospacing="1" w:afterAutospacing="1"/>
              <w:jc w:val="right"/>
            </w:pPr>
            <w:r>
              <w:rPr>
                <w:color w:val="000000"/>
              </w:rPr>
              <w:t>0</w:t>
            </w:r>
          </w:p>
        </w:tc>
        <w:tc>
          <w:tcPr>
            <w:tcW w:w="1364" w:type="dxa"/>
            <w:vAlign w:val="bottom"/>
          </w:tcPr>
          <w:p w14:paraId="3F211A8F" w14:textId="77777777" w:rsidR="00BB5584" w:rsidRDefault="00506586">
            <w:pPr>
              <w:spacing w:beforeAutospacing="1" w:afterAutospacing="1"/>
              <w:jc w:val="right"/>
            </w:pPr>
            <w:r>
              <w:rPr>
                <w:color w:val="000000"/>
              </w:rPr>
              <w:t>0</w:t>
            </w:r>
          </w:p>
        </w:tc>
        <w:tc>
          <w:tcPr>
            <w:tcW w:w="1364" w:type="dxa"/>
            <w:vAlign w:val="bottom"/>
          </w:tcPr>
          <w:p w14:paraId="7404B870" w14:textId="77777777" w:rsidR="00BB5584" w:rsidRDefault="00506586">
            <w:pPr>
              <w:spacing w:beforeAutospacing="1" w:afterAutospacing="1"/>
              <w:jc w:val="right"/>
            </w:pPr>
            <w:r>
              <w:rPr>
                <w:color w:val="000000"/>
              </w:rPr>
              <w:t>0</w:t>
            </w:r>
          </w:p>
        </w:tc>
      </w:tr>
    </w:tbl>
    <w:p w14:paraId="39771C72" w14:textId="77777777" w:rsidR="00BB5584" w:rsidRDefault="00BB5584">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BB5584" w14:paraId="55E3FDD7" w14:textId="77777777">
        <w:trPr>
          <w:cantSplit/>
        </w:trPr>
        <w:tc>
          <w:tcPr>
            <w:tcW w:w="5485" w:type="dxa"/>
            <w:gridSpan w:val="4"/>
          </w:tcPr>
          <w:p w14:paraId="298B08F9" w14:textId="77777777" w:rsidR="00BB5584" w:rsidRDefault="00506586">
            <w:pPr>
              <w:keepNext/>
              <w:widowControl w:val="0"/>
              <w:spacing w:after="0" w:line="240" w:lineRule="auto"/>
              <w:rPr>
                <w:b/>
              </w:rPr>
            </w:pPr>
            <w:r>
              <w:rPr>
                <w:b/>
              </w:rPr>
              <w:t>Sub-Contracts</w:t>
            </w:r>
          </w:p>
        </w:tc>
      </w:tr>
      <w:tr w:rsidR="00BB5584" w14:paraId="658B5BE7" w14:textId="77777777">
        <w:trPr>
          <w:cantSplit/>
          <w:hidden/>
        </w:trPr>
        <w:tc>
          <w:tcPr>
            <w:tcW w:w="1393" w:type="dxa"/>
          </w:tcPr>
          <w:p w14:paraId="268E0297" w14:textId="77777777" w:rsidR="00BB5584" w:rsidRDefault="00BB5584">
            <w:pPr>
              <w:keepNext/>
              <w:widowControl w:val="0"/>
              <w:spacing w:after="0" w:line="240" w:lineRule="auto"/>
              <w:rPr>
                <w:b/>
                <w:vanish/>
              </w:rPr>
            </w:pPr>
          </w:p>
        </w:tc>
        <w:tc>
          <w:tcPr>
            <w:tcW w:w="1364" w:type="dxa"/>
          </w:tcPr>
          <w:p w14:paraId="31061A65" w14:textId="77777777" w:rsidR="00BB5584" w:rsidRDefault="00BB5584">
            <w:pPr>
              <w:keepNext/>
              <w:widowControl w:val="0"/>
              <w:spacing w:after="0" w:line="240" w:lineRule="auto"/>
              <w:rPr>
                <w:b/>
                <w:vanish/>
              </w:rPr>
            </w:pPr>
          </w:p>
        </w:tc>
        <w:tc>
          <w:tcPr>
            <w:tcW w:w="1364" w:type="dxa"/>
          </w:tcPr>
          <w:p w14:paraId="522F6FBA" w14:textId="77777777" w:rsidR="00BB5584" w:rsidRDefault="00BB5584">
            <w:pPr>
              <w:keepNext/>
              <w:widowControl w:val="0"/>
              <w:spacing w:after="0" w:line="240" w:lineRule="auto"/>
              <w:rPr>
                <w:b/>
                <w:vanish/>
              </w:rPr>
            </w:pPr>
          </w:p>
        </w:tc>
        <w:tc>
          <w:tcPr>
            <w:tcW w:w="1364" w:type="dxa"/>
          </w:tcPr>
          <w:p w14:paraId="00DE2703" w14:textId="77777777" w:rsidR="00BB5584" w:rsidRDefault="00BB5584">
            <w:pPr>
              <w:keepNext/>
              <w:widowControl w:val="0"/>
              <w:spacing w:after="0" w:line="240" w:lineRule="auto"/>
              <w:rPr>
                <w:b/>
                <w:vanish/>
              </w:rPr>
            </w:pPr>
          </w:p>
        </w:tc>
      </w:tr>
      <w:tr w:rsidR="00BB5584" w14:paraId="7086F481" w14:textId="77777777">
        <w:trPr>
          <w:cantSplit/>
        </w:trPr>
        <w:tc>
          <w:tcPr>
            <w:tcW w:w="1393" w:type="dxa"/>
          </w:tcPr>
          <w:p w14:paraId="2E51A781" w14:textId="77777777" w:rsidR="00BB5584" w:rsidRDefault="00506586">
            <w:pPr>
              <w:spacing w:beforeAutospacing="1" w:afterAutospacing="1"/>
            </w:pPr>
            <w:r>
              <w:rPr>
                <w:color w:val="000000"/>
              </w:rPr>
              <w:t>Number</w:t>
            </w:r>
          </w:p>
        </w:tc>
        <w:tc>
          <w:tcPr>
            <w:tcW w:w="1364" w:type="dxa"/>
            <w:vAlign w:val="bottom"/>
          </w:tcPr>
          <w:p w14:paraId="0D93C51A" w14:textId="77777777" w:rsidR="00BB5584" w:rsidRDefault="00506586">
            <w:pPr>
              <w:spacing w:beforeAutospacing="1" w:afterAutospacing="1"/>
              <w:jc w:val="right"/>
            </w:pPr>
            <w:r>
              <w:rPr>
                <w:color w:val="000000"/>
              </w:rPr>
              <w:t>0</w:t>
            </w:r>
          </w:p>
        </w:tc>
        <w:tc>
          <w:tcPr>
            <w:tcW w:w="1364" w:type="dxa"/>
            <w:vAlign w:val="bottom"/>
          </w:tcPr>
          <w:p w14:paraId="78FD23A0" w14:textId="77777777" w:rsidR="00BB5584" w:rsidRDefault="00506586">
            <w:pPr>
              <w:spacing w:beforeAutospacing="1" w:afterAutospacing="1"/>
              <w:jc w:val="right"/>
            </w:pPr>
            <w:r>
              <w:rPr>
                <w:color w:val="000000"/>
              </w:rPr>
              <w:t>0</w:t>
            </w:r>
          </w:p>
        </w:tc>
        <w:tc>
          <w:tcPr>
            <w:tcW w:w="1364" w:type="dxa"/>
            <w:vAlign w:val="bottom"/>
          </w:tcPr>
          <w:p w14:paraId="224C9F46" w14:textId="77777777" w:rsidR="00BB5584" w:rsidRDefault="00506586">
            <w:pPr>
              <w:spacing w:beforeAutospacing="1" w:afterAutospacing="1"/>
              <w:jc w:val="right"/>
            </w:pPr>
            <w:r>
              <w:rPr>
                <w:color w:val="000000"/>
              </w:rPr>
              <w:t>0</w:t>
            </w:r>
          </w:p>
        </w:tc>
      </w:tr>
      <w:tr w:rsidR="00BB5584" w14:paraId="1EE4DA85" w14:textId="77777777">
        <w:trPr>
          <w:cantSplit/>
        </w:trPr>
        <w:tc>
          <w:tcPr>
            <w:tcW w:w="1393" w:type="dxa"/>
          </w:tcPr>
          <w:p w14:paraId="045EDBEC" w14:textId="77777777" w:rsidR="00BB5584" w:rsidRDefault="00506586">
            <w:pPr>
              <w:spacing w:beforeAutospacing="1" w:afterAutospacing="1"/>
            </w:pPr>
            <w:r>
              <w:rPr>
                <w:color w:val="000000"/>
              </w:rPr>
              <w:t>Dollar Amount</w:t>
            </w:r>
          </w:p>
        </w:tc>
        <w:tc>
          <w:tcPr>
            <w:tcW w:w="1364" w:type="dxa"/>
            <w:vAlign w:val="bottom"/>
          </w:tcPr>
          <w:p w14:paraId="4627A54E" w14:textId="77777777" w:rsidR="00BB5584" w:rsidRDefault="00506586">
            <w:pPr>
              <w:spacing w:beforeAutospacing="1" w:afterAutospacing="1"/>
              <w:jc w:val="right"/>
            </w:pPr>
            <w:r>
              <w:rPr>
                <w:color w:val="000000"/>
              </w:rPr>
              <w:t>0</w:t>
            </w:r>
          </w:p>
        </w:tc>
        <w:tc>
          <w:tcPr>
            <w:tcW w:w="1364" w:type="dxa"/>
            <w:vAlign w:val="bottom"/>
          </w:tcPr>
          <w:p w14:paraId="79FD807E" w14:textId="77777777" w:rsidR="00BB5584" w:rsidRDefault="00506586">
            <w:pPr>
              <w:spacing w:beforeAutospacing="1" w:afterAutospacing="1"/>
              <w:jc w:val="right"/>
            </w:pPr>
            <w:r>
              <w:rPr>
                <w:color w:val="000000"/>
              </w:rPr>
              <w:t>0</w:t>
            </w:r>
          </w:p>
        </w:tc>
        <w:tc>
          <w:tcPr>
            <w:tcW w:w="1364" w:type="dxa"/>
            <w:vAlign w:val="bottom"/>
          </w:tcPr>
          <w:p w14:paraId="0D3755D7" w14:textId="77777777" w:rsidR="00BB5584" w:rsidRDefault="00506586">
            <w:pPr>
              <w:spacing w:beforeAutospacing="1" w:afterAutospacing="1"/>
              <w:jc w:val="right"/>
            </w:pPr>
            <w:r>
              <w:rPr>
                <w:color w:val="000000"/>
              </w:rPr>
              <w:t>0</w:t>
            </w:r>
          </w:p>
        </w:tc>
      </w:tr>
    </w:tbl>
    <w:p w14:paraId="4C9FE9BF" w14:textId="77777777" w:rsidR="00BB5584" w:rsidRDefault="00506586">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Minority Business and Women Business Enterprises</w:t>
      </w:r>
    </w:p>
    <w:p w14:paraId="2DD71E87" w14:textId="77777777" w:rsidR="00BB5584" w:rsidRDefault="00BB5584">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B5584" w14:paraId="0D6BC1FB" w14:textId="77777777">
        <w:tc>
          <w:tcPr>
            <w:tcW w:w="9576" w:type="dxa"/>
          </w:tcPr>
          <w:p w14:paraId="30BAE83A" w14:textId="77777777" w:rsidR="00BB5584" w:rsidRDefault="00506586">
            <w:pPr>
              <w:keepNext/>
              <w:widowControl w:val="0"/>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14:paraId="79FD638A" w14:textId="77777777" w:rsidR="00BB5584" w:rsidRDefault="00BB5584">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4"/>
        <w:gridCol w:w="793"/>
        <w:gridCol w:w="1486"/>
        <w:gridCol w:w="1398"/>
        <w:gridCol w:w="1433"/>
        <w:gridCol w:w="1433"/>
        <w:gridCol w:w="1433"/>
      </w:tblGrid>
      <w:tr w:rsidR="00BB5584" w14:paraId="30BF9E4C" w14:textId="77777777">
        <w:tc>
          <w:tcPr>
            <w:tcW w:w="1408" w:type="dxa"/>
            <w:vMerge w:val="restart"/>
          </w:tcPr>
          <w:p w14:paraId="08E0AF87" w14:textId="77777777" w:rsidR="00BB5584" w:rsidRDefault="00BB5584">
            <w:pPr>
              <w:keepNext/>
              <w:widowControl w:val="0"/>
              <w:spacing w:after="0" w:line="240" w:lineRule="auto"/>
              <w:jc w:val="center"/>
              <w:rPr>
                <w:b/>
              </w:rPr>
            </w:pPr>
          </w:p>
        </w:tc>
        <w:tc>
          <w:tcPr>
            <w:tcW w:w="809" w:type="dxa"/>
            <w:vMerge w:val="restart"/>
          </w:tcPr>
          <w:p w14:paraId="2EBA9467" w14:textId="77777777" w:rsidR="00BB5584" w:rsidRDefault="00506586">
            <w:pPr>
              <w:keepNext/>
              <w:widowControl w:val="0"/>
              <w:spacing w:after="0" w:line="240" w:lineRule="auto"/>
              <w:jc w:val="center"/>
              <w:rPr>
                <w:b/>
              </w:rPr>
            </w:pPr>
            <w:r>
              <w:rPr>
                <w:b/>
              </w:rPr>
              <w:t>Total</w:t>
            </w:r>
          </w:p>
        </w:tc>
        <w:tc>
          <w:tcPr>
            <w:tcW w:w="5891" w:type="dxa"/>
            <w:gridSpan w:val="4"/>
          </w:tcPr>
          <w:p w14:paraId="46DBFC66" w14:textId="77777777" w:rsidR="00BB5584" w:rsidRDefault="00506586">
            <w:pPr>
              <w:keepNext/>
              <w:widowControl w:val="0"/>
              <w:spacing w:after="0" w:line="240" w:lineRule="auto"/>
              <w:jc w:val="center"/>
              <w:rPr>
                <w:b/>
              </w:rPr>
            </w:pPr>
            <w:r>
              <w:rPr>
                <w:b/>
              </w:rPr>
              <w:t xml:space="preserve">Minority Property </w:t>
            </w:r>
            <w:r>
              <w:rPr>
                <w:b/>
              </w:rPr>
              <w:t>Owners</w:t>
            </w:r>
          </w:p>
        </w:tc>
        <w:tc>
          <w:tcPr>
            <w:tcW w:w="1468" w:type="dxa"/>
            <w:vMerge w:val="restart"/>
          </w:tcPr>
          <w:p w14:paraId="006EABC0" w14:textId="77777777" w:rsidR="00BB5584" w:rsidRDefault="00506586">
            <w:pPr>
              <w:keepNext/>
              <w:widowControl w:val="0"/>
              <w:spacing w:after="0" w:line="240" w:lineRule="auto"/>
              <w:jc w:val="center"/>
              <w:rPr>
                <w:b/>
              </w:rPr>
            </w:pPr>
            <w:r>
              <w:rPr>
                <w:b/>
              </w:rPr>
              <w:t>White Non-Hispanic</w:t>
            </w:r>
          </w:p>
        </w:tc>
      </w:tr>
      <w:tr w:rsidR="00BB5584" w14:paraId="0F473CC9" w14:textId="77777777">
        <w:tc>
          <w:tcPr>
            <w:tcW w:w="1408" w:type="dxa"/>
            <w:vMerge/>
          </w:tcPr>
          <w:p w14:paraId="42289045" w14:textId="77777777" w:rsidR="00BB5584" w:rsidRDefault="00BB5584">
            <w:pPr>
              <w:keepNext/>
              <w:widowControl w:val="0"/>
              <w:spacing w:after="0" w:line="240" w:lineRule="auto"/>
              <w:jc w:val="center"/>
              <w:rPr>
                <w:b/>
              </w:rPr>
            </w:pPr>
          </w:p>
        </w:tc>
        <w:tc>
          <w:tcPr>
            <w:tcW w:w="809" w:type="dxa"/>
            <w:vMerge/>
          </w:tcPr>
          <w:p w14:paraId="2933710F" w14:textId="77777777" w:rsidR="00BB5584" w:rsidRDefault="00BB5584">
            <w:pPr>
              <w:keepNext/>
              <w:widowControl w:val="0"/>
              <w:spacing w:after="0" w:line="240" w:lineRule="auto"/>
              <w:jc w:val="center"/>
              <w:rPr>
                <w:b/>
              </w:rPr>
            </w:pPr>
          </w:p>
        </w:tc>
        <w:tc>
          <w:tcPr>
            <w:tcW w:w="1523" w:type="dxa"/>
          </w:tcPr>
          <w:p w14:paraId="35852145" w14:textId="77777777" w:rsidR="00BB5584" w:rsidRDefault="00506586">
            <w:pPr>
              <w:keepNext/>
              <w:widowControl w:val="0"/>
              <w:jc w:val="center"/>
              <w:rPr>
                <w:b/>
              </w:rPr>
            </w:pPr>
            <w:r>
              <w:rPr>
                <w:b/>
              </w:rPr>
              <w:t>Alaskan Native or American Indian</w:t>
            </w:r>
          </w:p>
        </w:tc>
        <w:tc>
          <w:tcPr>
            <w:tcW w:w="1432" w:type="dxa"/>
          </w:tcPr>
          <w:p w14:paraId="4F5A1F38" w14:textId="77777777" w:rsidR="00BB5584" w:rsidRDefault="00506586">
            <w:pPr>
              <w:keepNext/>
              <w:widowControl w:val="0"/>
              <w:ind w:right="-28"/>
              <w:jc w:val="center"/>
              <w:rPr>
                <w:b/>
              </w:rPr>
            </w:pPr>
            <w:r>
              <w:rPr>
                <w:b/>
              </w:rPr>
              <w:t>Asian or Pacific Islander</w:t>
            </w:r>
          </w:p>
        </w:tc>
        <w:tc>
          <w:tcPr>
            <w:tcW w:w="1468" w:type="dxa"/>
          </w:tcPr>
          <w:p w14:paraId="4F6C884D" w14:textId="77777777" w:rsidR="00BB5584" w:rsidRDefault="00506586">
            <w:pPr>
              <w:keepNext/>
              <w:widowControl w:val="0"/>
              <w:jc w:val="center"/>
              <w:rPr>
                <w:b/>
              </w:rPr>
            </w:pPr>
            <w:r>
              <w:rPr>
                <w:b/>
              </w:rPr>
              <w:t>Black Non-Hispanic</w:t>
            </w:r>
          </w:p>
        </w:tc>
        <w:tc>
          <w:tcPr>
            <w:tcW w:w="1468" w:type="dxa"/>
          </w:tcPr>
          <w:p w14:paraId="11B5CD77" w14:textId="77777777" w:rsidR="00BB5584" w:rsidRDefault="00506586">
            <w:pPr>
              <w:keepNext/>
              <w:widowControl w:val="0"/>
              <w:jc w:val="center"/>
              <w:rPr>
                <w:b/>
              </w:rPr>
            </w:pPr>
            <w:r>
              <w:rPr>
                <w:b/>
              </w:rPr>
              <w:t>Hispanic</w:t>
            </w:r>
          </w:p>
        </w:tc>
        <w:tc>
          <w:tcPr>
            <w:tcW w:w="1468" w:type="dxa"/>
            <w:vMerge/>
          </w:tcPr>
          <w:p w14:paraId="0697F965" w14:textId="77777777" w:rsidR="00BB5584" w:rsidRDefault="00BB5584">
            <w:pPr>
              <w:keepNext/>
              <w:widowControl w:val="0"/>
              <w:spacing w:after="0" w:line="240" w:lineRule="auto"/>
              <w:jc w:val="center"/>
              <w:rPr>
                <w:b/>
              </w:rPr>
            </w:pPr>
          </w:p>
        </w:tc>
      </w:tr>
      <w:tr w:rsidR="00BB5584" w14:paraId="4293F949" w14:textId="77777777">
        <w:trPr>
          <w:cantSplit/>
        </w:trPr>
        <w:tc>
          <w:tcPr>
            <w:tcW w:w="1411" w:type="dxa"/>
          </w:tcPr>
          <w:p w14:paraId="3AF39B20" w14:textId="77777777" w:rsidR="00BB5584" w:rsidRDefault="00506586">
            <w:pPr>
              <w:spacing w:beforeAutospacing="1" w:afterAutospacing="1"/>
            </w:pPr>
            <w:r>
              <w:rPr>
                <w:color w:val="000000"/>
              </w:rPr>
              <w:t>Number</w:t>
            </w:r>
          </w:p>
        </w:tc>
        <w:tc>
          <w:tcPr>
            <w:tcW w:w="810" w:type="dxa"/>
            <w:vAlign w:val="bottom"/>
          </w:tcPr>
          <w:p w14:paraId="2E92E5A1" w14:textId="77777777" w:rsidR="00BB5584" w:rsidRDefault="00506586">
            <w:pPr>
              <w:spacing w:beforeAutospacing="1" w:afterAutospacing="1"/>
              <w:jc w:val="right"/>
            </w:pPr>
            <w:r>
              <w:rPr>
                <w:color w:val="000000"/>
              </w:rPr>
              <w:t>0</w:t>
            </w:r>
          </w:p>
        </w:tc>
        <w:tc>
          <w:tcPr>
            <w:tcW w:w="1525" w:type="dxa"/>
            <w:vAlign w:val="bottom"/>
          </w:tcPr>
          <w:p w14:paraId="54802482" w14:textId="77777777" w:rsidR="00BB5584" w:rsidRDefault="00506586">
            <w:pPr>
              <w:spacing w:beforeAutospacing="1" w:afterAutospacing="1"/>
              <w:jc w:val="right"/>
            </w:pPr>
            <w:r>
              <w:rPr>
                <w:color w:val="000000"/>
              </w:rPr>
              <w:t>0</w:t>
            </w:r>
          </w:p>
        </w:tc>
        <w:tc>
          <w:tcPr>
            <w:tcW w:w="1434" w:type="dxa"/>
            <w:vAlign w:val="bottom"/>
          </w:tcPr>
          <w:p w14:paraId="530572F5" w14:textId="77777777" w:rsidR="00BB5584" w:rsidRDefault="00506586">
            <w:pPr>
              <w:spacing w:beforeAutospacing="1" w:afterAutospacing="1"/>
              <w:jc w:val="right"/>
            </w:pPr>
            <w:r>
              <w:rPr>
                <w:color w:val="000000"/>
              </w:rPr>
              <w:t>0</w:t>
            </w:r>
          </w:p>
        </w:tc>
        <w:tc>
          <w:tcPr>
            <w:tcW w:w="1470" w:type="dxa"/>
            <w:vAlign w:val="bottom"/>
          </w:tcPr>
          <w:p w14:paraId="1317F1C8" w14:textId="77777777" w:rsidR="00BB5584" w:rsidRDefault="00506586">
            <w:pPr>
              <w:spacing w:beforeAutospacing="1" w:afterAutospacing="1"/>
              <w:jc w:val="right"/>
            </w:pPr>
            <w:r>
              <w:rPr>
                <w:color w:val="000000"/>
              </w:rPr>
              <w:t>0</w:t>
            </w:r>
          </w:p>
        </w:tc>
        <w:tc>
          <w:tcPr>
            <w:tcW w:w="1470" w:type="dxa"/>
            <w:vAlign w:val="bottom"/>
          </w:tcPr>
          <w:p w14:paraId="18A331CB" w14:textId="77777777" w:rsidR="00BB5584" w:rsidRDefault="00506586">
            <w:pPr>
              <w:spacing w:beforeAutospacing="1" w:afterAutospacing="1"/>
              <w:jc w:val="right"/>
            </w:pPr>
            <w:r>
              <w:rPr>
                <w:color w:val="000000"/>
              </w:rPr>
              <w:t>0</w:t>
            </w:r>
          </w:p>
        </w:tc>
        <w:tc>
          <w:tcPr>
            <w:tcW w:w="1470" w:type="dxa"/>
            <w:vAlign w:val="bottom"/>
          </w:tcPr>
          <w:p w14:paraId="47B9EBB2" w14:textId="77777777" w:rsidR="00BB5584" w:rsidRDefault="00506586">
            <w:pPr>
              <w:spacing w:beforeAutospacing="1" w:afterAutospacing="1"/>
              <w:jc w:val="right"/>
            </w:pPr>
            <w:r>
              <w:rPr>
                <w:color w:val="000000"/>
              </w:rPr>
              <w:t>0</w:t>
            </w:r>
          </w:p>
        </w:tc>
      </w:tr>
      <w:tr w:rsidR="00BB5584" w14:paraId="1F58ED2F" w14:textId="77777777">
        <w:trPr>
          <w:cantSplit/>
        </w:trPr>
        <w:tc>
          <w:tcPr>
            <w:tcW w:w="1411" w:type="dxa"/>
          </w:tcPr>
          <w:p w14:paraId="41CF3565" w14:textId="77777777" w:rsidR="00BB5584" w:rsidRDefault="00506586">
            <w:pPr>
              <w:spacing w:beforeAutospacing="1" w:afterAutospacing="1"/>
            </w:pPr>
            <w:r>
              <w:rPr>
                <w:color w:val="000000"/>
              </w:rPr>
              <w:t>Dollar Amount</w:t>
            </w:r>
          </w:p>
        </w:tc>
        <w:tc>
          <w:tcPr>
            <w:tcW w:w="810" w:type="dxa"/>
            <w:vAlign w:val="bottom"/>
          </w:tcPr>
          <w:p w14:paraId="45402F4B" w14:textId="77777777" w:rsidR="00BB5584" w:rsidRDefault="00506586">
            <w:pPr>
              <w:spacing w:beforeAutospacing="1" w:afterAutospacing="1"/>
              <w:jc w:val="right"/>
            </w:pPr>
            <w:r>
              <w:rPr>
                <w:color w:val="000000"/>
              </w:rPr>
              <w:t>0</w:t>
            </w:r>
          </w:p>
        </w:tc>
        <w:tc>
          <w:tcPr>
            <w:tcW w:w="1525" w:type="dxa"/>
            <w:vAlign w:val="bottom"/>
          </w:tcPr>
          <w:p w14:paraId="4A6334A6" w14:textId="77777777" w:rsidR="00BB5584" w:rsidRDefault="00506586">
            <w:pPr>
              <w:spacing w:beforeAutospacing="1" w:afterAutospacing="1"/>
              <w:jc w:val="right"/>
            </w:pPr>
            <w:r>
              <w:rPr>
                <w:color w:val="000000"/>
              </w:rPr>
              <w:t>0</w:t>
            </w:r>
          </w:p>
        </w:tc>
        <w:tc>
          <w:tcPr>
            <w:tcW w:w="1434" w:type="dxa"/>
            <w:vAlign w:val="bottom"/>
          </w:tcPr>
          <w:p w14:paraId="5AE7AD6E" w14:textId="77777777" w:rsidR="00BB5584" w:rsidRDefault="00506586">
            <w:pPr>
              <w:spacing w:beforeAutospacing="1" w:afterAutospacing="1"/>
              <w:jc w:val="right"/>
            </w:pPr>
            <w:r>
              <w:rPr>
                <w:color w:val="000000"/>
              </w:rPr>
              <w:t>0</w:t>
            </w:r>
          </w:p>
        </w:tc>
        <w:tc>
          <w:tcPr>
            <w:tcW w:w="1470" w:type="dxa"/>
            <w:vAlign w:val="bottom"/>
          </w:tcPr>
          <w:p w14:paraId="04F528BC" w14:textId="77777777" w:rsidR="00BB5584" w:rsidRDefault="00506586">
            <w:pPr>
              <w:spacing w:beforeAutospacing="1" w:afterAutospacing="1"/>
              <w:jc w:val="right"/>
            </w:pPr>
            <w:r>
              <w:rPr>
                <w:color w:val="000000"/>
              </w:rPr>
              <w:t>0</w:t>
            </w:r>
          </w:p>
        </w:tc>
        <w:tc>
          <w:tcPr>
            <w:tcW w:w="1470" w:type="dxa"/>
            <w:vAlign w:val="bottom"/>
          </w:tcPr>
          <w:p w14:paraId="4C286A9F" w14:textId="77777777" w:rsidR="00BB5584" w:rsidRDefault="00506586">
            <w:pPr>
              <w:spacing w:beforeAutospacing="1" w:afterAutospacing="1"/>
              <w:jc w:val="right"/>
            </w:pPr>
            <w:r>
              <w:rPr>
                <w:color w:val="000000"/>
              </w:rPr>
              <w:t>0</w:t>
            </w:r>
          </w:p>
        </w:tc>
        <w:tc>
          <w:tcPr>
            <w:tcW w:w="1470" w:type="dxa"/>
            <w:vAlign w:val="bottom"/>
          </w:tcPr>
          <w:p w14:paraId="458F23B0" w14:textId="77777777" w:rsidR="00BB5584" w:rsidRDefault="00506586">
            <w:pPr>
              <w:spacing w:beforeAutospacing="1" w:afterAutospacing="1"/>
              <w:jc w:val="right"/>
            </w:pPr>
            <w:r>
              <w:rPr>
                <w:color w:val="000000"/>
              </w:rPr>
              <w:t>0</w:t>
            </w:r>
          </w:p>
        </w:tc>
      </w:tr>
    </w:tbl>
    <w:p w14:paraId="318FDA2C"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Minority Owners of Rental Property</w:t>
      </w:r>
    </w:p>
    <w:p w14:paraId="76B1A95D" w14:textId="77777777" w:rsidR="00BB5584" w:rsidRDefault="00BB5584">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B5584" w14:paraId="67089073" w14:textId="77777777">
        <w:tc>
          <w:tcPr>
            <w:tcW w:w="13176" w:type="dxa"/>
          </w:tcPr>
          <w:p w14:paraId="18BB5DC2" w14:textId="77777777" w:rsidR="00BB5584" w:rsidRDefault="00506586">
            <w:pPr>
              <w:keepNext/>
              <w:widowControl w:val="0"/>
              <w:spacing w:after="0" w:line="240" w:lineRule="auto"/>
              <w:rPr>
                <w:b/>
              </w:rPr>
            </w:pPr>
            <w:r>
              <w:rPr>
                <w:b/>
              </w:rPr>
              <w:lastRenderedPageBreak/>
              <w:t xml:space="preserve">Relocation and Real Property Acquisition – </w:t>
            </w:r>
            <w:r>
              <w:t>Indicate the number of persons displaced, the cost of relocation payments, the number of parcels acquired, and the cost of acquisition</w:t>
            </w:r>
          </w:p>
        </w:tc>
      </w:tr>
    </w:tbl>
    <w:p w14:paraId="4E9A75BA" w14:textId="77777777" w:rsidR="00BB5584" w:rsidRDefault="00BB5584">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81"/>
        <w:gridCol w:w="1660"/>
        <w:gridCol w:w="1660"/>
      </w:tblGrid>
      <w:tr w:rsidR="00BB5584" w14:paraId="4F18B706" w14:textId="77777777">
        <w:trPr>
          <w:cantSplit/>
          <w:hidden/>
        </w:trPr>
        <w:tc>
          <w:tcPr>
            <w:tcW w:w="4392" w:type="dxa"/>
          </w:tcPr>
          <w:p w14:paraId="16A33445" w14:textId="77777777" w:rsidR="00BB5584" w:rsidRDefault="00BB5584">
            <w:pPr>
              <w:keepNext/>
              <w:widowControl w:val="0"/>
              <w:spacing w:after="0" w:line="240" w:lineRule="auto"/>
              <w:rPr>
                <w:b/>
                <w:vanish/>
              </w:rPr>
            </w:pPr>
          </w:p>
        </w:tc>
        <w:tc>
          <w:tcPr>
            <w:tcW w:w="2314" w:type="dxa"/>
          </w:tcPr>
          <w:p w14:paraId="0E18EA6D" w14:textId="77777777" w:rsidR="00BB5584" w:rsidRDefault="00506586">
            <w:pPr>
              <w:keepNext/>
              <w:widowControl w:val="0"/>
              <w:spacing w:after="0" w:line="240" w:lineRule="auto"/>
              <w:jc w:val="center"/>
              <w:rPr>
                <w:b/>
                <w:vanish/>
              </w:rPr>
            </w:pPr>
            <w:r>
              <w:rPr>
                <w:b/>
                <w:vanish/>
              </w:rPr>
              <w:t>Number</w:t>
            </w:r>
          </w:p>
        </w:tc>
        <w:tc>
          <w:tcPr>
            <w:tcW w:w="2314" w:type="dxa"/>
          </w:tcPr>
          <w:p w14:paraId="6CE60347" w14:textId="77777777" w:rsidR="00BB5584" w:rsidRDefault="00506586">
            <w:pPr>
              <w:keepNext/>
              <w:widowControl w:val="0"/>
              <w:spacing w:after="0" w:line="240" w:lineRule="auto"/>
              <w:jc w:val="center"/>
              <w:rPr>
                <w:b/>
                <w:vanish/>
              </w:rPr>
            </w:pPr>
            <w:r>
              <w:rPr>
                <w:b/>
                <w:vanish/>
              </w:rPr>
              <w:t>Cost</w:t>
            </w:r>
          </w:p>
        </w:tc>
      </w:tr>
      <w:tr w:rsidR="00BB5584" w14:paraId="156DB2BC" w14:textId="77777777">
        <w:trPr>
          <w:cantSplit/>
        </w:trPr>
        <w:tc>
          <w:tcPr>
            <w:tcW w:w="3163" w:type="dxa"/>
          </w:tcPr>
          <w:p w14:paraId="02324151" w14:textId="77777777" w:rsidR="00BB5584" w:rsidRDefault="00506586">
            <w:pPr>
              <w:spacing w:beforeAutospacing="1" w:afterAutospacing="1"/>
            </w:pPr>
            <w:r>
              <w:rPr>
                <w:color w:val="000000"/>
              </w:rPr>
              <w:t>Parcels Acquired</w:t>
            </w:r>
          </w:p>
        </w:tc>
        <w:tc>
          <w:tcPr>
            <w:tcW w:w="1701" w:type="dxa"/>
            <w:vAlign w:val="bottom"/>
          </w:tcPr>
          <w:p w14:paraId="5D0075A0" w14:textId="77777777" w:rsidR="00BB5584" w:rsidRDefault="00506586">
            <w:pPr>
              <w:spacing w:beforeAutospacing="1" w:afterAutospacing="1"/>
              <w:jc w:val="right"/>
            </w:pPr>
            <w:r>
              <w:rPr>
                <w:color w:val="000000"/>
              </w:rPr>
              <w:t>0</w:t>
            </w:r>
          </w:p>
        </w:tc>
        <w:tc>
          <w:tcPr>
            <w:tcW w:w="1701" w:type="dxa"/>
            <w:vAlign w:val="bottom"/>
          </w:tcPr>
          <w:p w14:paraId="75AD539D" w14:textId="77777777" w:rsidR="00BB5584" w:rsidRDefault="00506586">
            <w:pPr>
              <w:spacing w:beforeAutospacing="1" w:afterAutospacing="1"/>
              <w:jc w:val="right"/>
            </w:pPr>
            <w:r>
              <w:rPr>
                <w:color w:val="000000"/>
              </w:rPr>
              <w:t>0</w:t>
            </w:r>
          </w:p>
        </w:tc>
      </w:tr>
      <w:tr w:rsidR="00BB5584" w14:paraId="6F18E3D7" w14:textId="77777777">
        <w:trPr>
          <w:cantSplit/>
        </w:trPr>
        <w:tc>
          <w:tcPr>
            <w:tcW w:w="3163" w:type="dxa"/>
          </w:tcPr>
          <w:p w14:paraId="2C6EA426" w14:textId="77777777" w:rsidR="00BB5584" w:rsidRDefault="00506586">
            <w:pPr>
              <w:spacing w:beforeAutospacing="1" w:afterAutospacing="1"/>
            </w:pPr>
            <w:r>
              <w:rPr>
                <w:color w:val="000000"/>
              </w:rPr>
              <w:t>Businesses Displaced</w:t>
            </w:r>
          </w:p>
        </w:tc>
        <w:tc>
          <w:tcPr>
            <w:tcW w:w="1701" w:type="dxa"/>
            <w:vAlign w:val="bottom"/>
          </w:tcPr>
          <w:p w14:paraId="2B9C1515" w14:textId="77777777" w:rsidR="00BB5584" w:rsidRDefault="00506586">
            <w:pPr>
              <w:spacing w:beforeAutospacing="1" w:afterAutospacing="1"/>
              <w:jc w:val="right"/>
            </w:pPr>
            <w:r>
              <w:rPr>
                <w:color w:val="000000"/>
              </w:rPr>
              <w:t>0</w:t>
            </w:r>
          </w:p>
        </w:tc>
        <w:tc>
          <w:tcPr>
            <w:tcW w:w="1701" w:type="dxa"/>
            <w:vAlign w:val="bottom"/>
          </w:tcPr>
          <w:p w14:paraId="1DE180DA" w14:textId="77777777" w:rsidR="00BB5584" w:rsidRDefault="00506586">
            <w:pPr>
              <w:spacing w:beforeAutospacing="1" w:afterAutospacing="1"/>
              <w:jc w:val="right"/>
            </w:pPr>
            <w:r>
              <w:rPr>
                <w:color w:val="000000"/>
              </w:rPr>
              <w:t>0</w:t>
            </w:r>
          </w:p>
        </w:tc>
      </w:tr>
      <w:tr w:rsidR="00BB5584" w14:paraId="5859C378" w14:textId="77777777">
        <w:trPr>
          <w:cantSplit/>
        </w:trPr>
        <w:tc>
          <w:tcPr>
            <w:tcW w:w="3163" w:type="dxa"/>
          </w:tcPr>
          <w:p w14:paraId="28E9953C" w14:textId="77777777" w:rsidR="00BB5584" w:rsidRDefault="00506586">
            <w:pPr>
              <w:spacing w:beforeAutospacing="1" w:afterAutospacing="1"/>
            </w:pPr>
            <w:r>
              <w:rPr>
                <w:color w:val="000000"/>
              </w:rPr>
              <w:t>Nonprofit Organizations Displaced</w:t>
            </w:r>
          </w:p>
        </w:tc>
        <w:tc>
          <w:tcPr>
            <w:tcW w:w="1701" w:type="dxa"/>
            <w:vAlign w:val="bottom"/>
          </w:tcPr>
          <w:p w14:paraId="240EE874" w14:textId="77777777" w:rsidR="00BB5584" w:rsidRDefault="00506586">
            <w:pPr>
              <w:spacing w:beforeAutospacing="1" w:afterAutospacing="1"/>
              <w:jc w:val="right"/>
            </w:pPr>
            <w:r>
              <w:rPr>
                <w:color w:val="000000"/>
              </w:rPr>
              <w:t>0</w:t>
            </w:r>
          </w:p>
        </w:tc>
        <w:tc>
          <w:tcPr>
            <w:tcW w:w="1701" w:type="dxa"/>
            <w:vAlign w:val="bottom"/>
          </w:tcPr>
          <w:p w14:paraId="6AF872D2" w14:textId="77777777" w:rsidR="00BB5584" w:rsidRDefault="00506586">
            <w:pPr>
              <w:spacing w:beforeAutospacing="1" w:afterAutospacing="1"/>
              <w:jc w:val="right"/>
            </w:pPr>
            <w:r>
              <w:rPr>
                <w:color w:val="000000"/>
              </w:rPr>
              <w:t>0</w:t>
            </w:r>
          </w:p>
        </w:tc>
      </w:tr>
      <w:tr w:rsidR="00BB5584" w14:paraId="15C6EF02" w14:textId="77777777">
        <w:trPr>
          <w:cantSplit/>
        </w:trPr>
        <w:tc>
          <w:tcPr>
            <w:tcW w:w="3163" w:type="dxa"/>
          </w:tcPr>
          <w:p w14:paraId="06ACC311" w14:textId="77777777" w:rsidR="00BB5584" w:rsidRDefault="00506586">
            <w:pPr>
              <w:spacing w:beforeAutospacing="1" w:afterAutospacing="1"/>
            </w:pPr>
            <w:r>
              <w:rPr>
                <w:color w:val="000000"/>
              </w:rPr>
              <w:t>Households Temporarily Relocated, not Displaced</w:t>
            </w:r>
          </w:p>
        </w:tc>
        <w:tc>
          <w:tcPr>
            <w:tcW w:w="1701" w:type="dxa"/>
            <w:vAlign w:val="bottom"/>
          </w:tcPr>
          <w:p w14:paraId="2CC408F1" w14:textId="77777777" w:rsidR="00BB5584" w:rsidRDefault="00506586">
            <w:pPr>
              <w:spacing w:beforeAutospacing="1" w:afterAutospacing="1"/>
              <w:jc w:val="right"/>
            </w:pPr>
            <w:r>
              <w:rPr>
                <w:color w:val="000000"/>
              </w:rPr>
              <w:t>0</w:t>
            </w:r>
          </w:p>
        </w:tc>
        <w:tc>
          <w:tcPr>
            <w:tcW w:w="1701" w:type="dxa"/>
            <w:vAlign w:val="bottom"/>
          </w:tcPr>
          <w:p w14:paraId="7797CE01" w14:textId="77777777" w:rsidR="00BB5584" w:rsidRDefault="00506586">
            <w:pPr>
              <w:spacing w:beforeAutospacing="1" w:afterAutospacing="1"/>
              <w:jc w:val="right"/>
            </w:pPr>
            <w:r>
              <w:rPr>
                <w:color w:val="000000"/>
              </w:rPr>
              <w:t>0</w:t>
            </w:r>
          </w:p>
        </w:tc>
      </w:tr>
    </w:tbl>
    <w:p w14:paraId="0BCBCFE9" w14:textId="77777777" w:rsidR="00BB5584" w:rsidRDefault="00BB5584">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3"/>
        <w:gridCol w:w="784"/>
        <w:gridCol w:w="1459"/>
        <w:gridCol w:w="1366"/>
        <w:gridCol w:w="1403"/>
        <w:gridCol w:w="1402"/>
        <w:gridCol w:w="1403"/>
      </w:tblGrid>
      <w:tr w:rsidR="00BB5584" w14:paraId="47ED2C43" w14:textId="77777777">
        <w:trPr>
          <w:cantSplit/>
        </w:trPr>
        <w:tc>
          <w:tcPr>
            <w:tcW w:w="1572" w:type="dxa"/>
            <w:vMerge w:val="restart"/>
          </w:tcPr>
          <w:p w14:paraId="24F3C941" w14:textId="77777777" w:rsidR="00BB5584" w:rsidRDefault="00506586">
            <w:pPr>
              <w:keepNext/>
              <w:widowControl w:val="0"/>
              <w:spacing w:after="0" w:line="240" w:lineRule="auto"/>
              <w:jc w:val="center"/>
              <w:rPr>
                <w:b/>
              </w:rPr>
            </w:pPr>
            <w:r>
              <w:rPr>
                <w:b/>
              </w:rPr>
              <w:t>Households Displaced</w:t>
            </w:r>
          </w:p>
        </w:tc>
        <w:tc>
          <w:tcPr>
            <w:tcW w:w="800" w:type="dxa"/>
            <w:vMerge w:val="restart"/>
          </w:tcPr>
          <w:p w14:paraId="377C9183" w14:textId="77777777" w:rsidR="00BB5584" w:rsidRDefault="00506586">
            <w:pPr>
              <w:keepNext/>
              <w:widowControl w:val="0"/>
              <w:spacing w:after="0" w:line="240" w:lineRule="auto"/>
              <w:jc w:val="center"/>
              <w:rPr>
                <w:b/>
              </w:rPr>
            </w:pPr>
            <w:r>
              <w:rPr>
                <w:b/>
              </w:rPr>
              <w:t>Total</w:t>
            </w:r>
          </w:p>
        </w:tc>
        <w:tc>
          <w:tcPr>
            <w:tcW w:w="5767" w:type="dxa"/>
            <w:gridSpan w:val="4"/>
          </w:tcPr>
          <w:p w14:paraId="40E732B2" w14:textId="77777777" w:rsidR="00BB5584" w:rsidRDefault="00506586">
            <w:pPr>
              <w:keepNext/>
              <w:widowControl w:val="0"/>
              <w:spacing w:after="0" w:line="240" w:lineRule="auto"/>
              <w:jc w:val="center"/>
              <w:rPr>
                <w:b/>
              </w:rPr>
            </w:pPr>
            <w:r>
              <w:rPr>
                <w:b/>
              </w:rPr>
              <w:t>Minority Property Enterprises</w:t>
            </w:r>
          </w:p>
        </w:tc>
        <w:tc>
          <w:tcPr>
            <w:tcW w:w="1437" w:type="dxa"/>
            <w:vMerge w:val="restart"/>
          </w:tcPr>
          <w:p w14:paraId="0090A3EB" w14:textId="77777777" w:rsidR="00BB5584" w:rsidRDefault="00506586">
            <w:pPr>
              <w:keepNext/>
              <w:widowControl w:val="0"/>
              <w:spacing w:after="0" w:line="240" w:lineRule="auto"/>
              <w:jc w:val="center"/>
              <w:rPr>
                <w:b/>
              </w:rPr>
            </w:pPr>
            <w:r>
              <w:rPr>
                <w:b/>
              </w:rPr>
              <w:t>White Non-Hispanic</w:t>
            </w:r>
          </w:p>
        </w:tc>
      </w:tr>
      <w:tr w:rsidR="00BB5584" w14:paraId="5C6B0655" w14:textId="77777777">
        <w:trPr>
          <w:cantSplit/>
        </w:trPr>
        <w:tc>
          <w:tcPr>
            <w:tcW w:w="1572" w:type="dxa"/>
            <w:vMerge/>
          </w:tcPr>
          <w:p w14:paraId="70C7E187" w14:textId="77777777" w:rsidR="00BB5584" w:rsidRDefault="00BB5584">
            <w:pPr>
              <w:keepNext/>
              <w:widowControl w:val="0"/>
              <w:spacing w:after="0" w:line="240" w:lineRule="auto"/>
              <w:jc w:val="center"/>
              <w:rPr>
                <w:b/>
              </w:rPr>
            </w:pPr>
          </w:p>
        </w:tc>
        <w:tc>
          <w:tcPr>
            <w:tcW w:w="800" w:type="dxa"/>
            <w:vMerge/>
          </w:tcPr>
          <w:p w14:paraId="3F23DF85" w14:textId="77777777" w:rsidR="00BB5584" w:rsidRDefault="00BB5584">
            <w:pPr>
              <w:keepNext/>
              <w:widowControl w:val="0"/>
              <w:spacing w:after="0" w:line="240" w:lineRule="auto"/>
              <w:jc w:val="center"/>
              <w:rPr>
                <w:b/>
              </w:rPr>
            </w:pPr>
          </w:p>
        </w:tc>
        <w:tc>
          <w:tcPr>
            <w:tcW w:w="1495" w:type="dxa"/>
          </w:tcPr>
          <w:p w14:paraId="5E42C54F" w14:textId="77777777" w:rsidR="00BB5584" w:rsidRDefault="00506586">
            <w:pPr>
              <w:keepNext/>
              <w:widowControl w:val="0"/>
              <w:jc w:val="center"/>
              <w:rPr>
                <w:b/>
              </w:rPr>
            </w:pPr>
            <w:r>
              <w:rPr>
                <w:b/>
              </w:rPr>
              <w:t xml:space="preserve">Alaskan Native or American </w:t>
            </w:r>
            <w:r>
              <w:rPr>
                <w:b/>
              </w:rPr>
              <w:t>Indian</w:t>
            </w:r>
          </w:p>
        </w:tc>
        <w:tc>
          <w:tcPr>
            <w:tcW w:w="1399" w:type="dxa"/>
          </w:tcPr>
          <w:p w14:paraId="4298594A" w14:textId="77777777" w:rsidR="00BB5584" w:rsidRDefault="00506586">
            <w:pPr>
              <w:keepNext/>
              <w:widowControl w:val="0"/>
              <w:ind w:right="-28"/>
              <w:jc w:val="center"/>
              <w:rPr>
                <w:b/>
              </w:rPr>
            </w:pPr>
            <w:r>
              <w:rPr>
                <w:b/>
              </w:rPr>
              <w:t>Asian or Pacific Islander</w:t>
            </w:r>
          </w:p>
        </w:tc>
        <w:tc>
          <w:tcPr>
            <w:tcW w:w="1437" w:type="dxa"/>
          </w:tcPr>
          <w:p w14:paraId="69A653CE" w14:textId="77777777" w:rsidR="00BB5584" w:rsidRDefault="00506586">
            <w:pPr>
              <w:keepNext/>
              <w:widowControl w:val="0"/>
              <w:jc w:val="center"/>
              <w:rPr>
                <w:b/>
              </w:rPr>
            </w:pPr>
            <w:r>
              <w:rPr>
                <w:b/>
              </w:rPr>
              <w:t>Black Non-Hispanic</w:t>
            </w:r>
          </w:p>
        </w:tc>
        <w:tc>
          <w:tcPr>
            <w:tcW w:w="1436" w:type="dxa"/>
          </w:tcPr>
          <w:p w14:paraId="2CEA0391" w14:textId="77777777" w:rsidR="00BB5584" w:rsidRDefault="00506586">
            <w:pPr>
              <w:keepNext/>
              <w:widowControl w:val="0"/>
              <w:jc w:val="center"/>
              <w:rPr>
                <w:b/>
              </w:rPr>
            </w:pPr>
            <w:r>
              <w:rPr>
                <w:b/>
              </w:rPr>
              <w:t>Hispanic</w:t>
            </w:r>
          </w:p>
        </w:tc>
        <w:tc>
          <w:tcPr>
            <w:tcW w:w="1437" w:type="dxa"/>
            <w:vMerge/>
          </w:tcPr>
          <w:p w14:paraId="2897A393" w14:textId="77777777" w:rsidR="00BB5584" w:rsidRDefault="00BB5584">
            <w:pPr>
              <w:keepNext/>
              <w:widowControl w:val="0"/>
              <w:spacing w:after="0" w:line="240" w:lineRule="auto"/>
              <w:jc w:val="center"/>
              <w:rPr>
                <w:b/>
              </w:rPr>
            </w:pPr>
          </w:p>
        </w:tc>
      </w:tr>
      <w:tr w:rsidR="00BB5584" w14:paraId="08F333A1" w14:textId="77777777">
        <w:trPr>
          <w:cantSplit/>
        </w:trPr>
        <w:tc>
          <w:tcPr>
            <w:tcW w:w="1575" w:type="dxa"/>
          </w:tcPr>
          <w:p w14:paraId="10DED31B" w14:textId="77777777" w:rsidR="00BB5584" w:rsidRDefault="00506586">
            <w:pPr>
              <w:spacing w:beforeAutospacing="1" w:afterAutospacing="1"/>
            </w:pPr>
            <w:r>
              <w:rPr>
                <w:color w:val="000000"/>
              </w:rPr>
              <w:t>Number</w:t>
            </w:r>
          </w:p>
        </w:tc>
        <w:tc>
          <w:tcPr>
            <w:tcW w:w="801" w:type="dxa"/>
            <w:vAlign w:val="bottom"/>
          </w:tcPr>
          <w:p w14:paraId="4F557FAF" w14:textId="77777777" w:rsidR="00BB5584" w:rsidRDefault="00506586">
            <w:pPr>
              <w:spacing w:beforeAutospacing="1" w:afterAutospacing="1"/>
              <w:jc w:val="right"/>
            </w:pPr>
            <w:r>
              <w:rPr>
                <w:color w:val="000000"/>
              </w:rPr>
              <w:t>0</w:t>
            </w:r>
          </w:p>
        </w:tc>
        <w:tc>
          <w:tcPr>
            <w:tcW w:w="1497" w:type="dxa"/>
            <w:vAlign w:val="bottom"/>
          </w:tcPr>
          <w:p w14:paraId="1E10445A" w14:textId="77777777" w:rsidR="00BB5584" w:rsidRDefault="00506586">
            <w:pPr>
              <w:spacing w:beforeAutospacing="1" w:afterAutospacing="1"/>
              <w:jc w:val="right"/>
            </w:pPr>
            <w:r>
              <w:rPr>
                <w:color w:val="000000"/>
              </w:rPr>
              <w:t>0</w:t>
            </w:r>
          </w:p>
        </w:tc>
        <w:tc>
          <w:tcPr>
            <w:tcW w:w="1401" w:type="dxa"/>
            <w:vAlign w:val="bottom"/>
          </w:tcPr>
          <w:p w14:paraId="711AFA1F" w14:textId="77777777" w:rsidR="00BB5584" w:rsidRDefault="00506586">
            <w:pPr>
              <w:spacing w:beforeAutospacing="1" w:afterAutospacing="1"/>
              <w:jc w:val="right"/>
            </w:pPr>
            <w:r>
              <w:rPr>
                <w:color w:val="000000"/>
              </w:rPr>
              <w:t>0</w:t>
            </w:r>
          </w:p>
        </w:tc>
        <w:tc>
          <w:tcPr>
            <w:tcW w:w="1439" w:type="dxa"/>
            <w:vAlign w:val="bottom"/>
          </w:tcPr>
          <w:p w14:paraId="32FA77C4" w14:textId="77777777" w:rsidR="00BB5584" w:rsidRDefault="00506586">
            <w:pPr>
              <w:spacing w:beforeAutospacing="1" w:afterAutospacing="1"/>
              <w:jc w:val="right"/>
            </w:pPr>
            <w:r>
              <w:rPr>
                <w:color w:val="000000"/>
              </w:rPr>
              <w:t>0</w:t>
            </w:r>
          </w:p>
        </w:tc>
        <w:tc>
          <w:tcPr>
            <w:tcW w:w="1438" w:type="dxa"/>
            <w:vAlign w:val="bottom"/>
          </w:tcPr>
          <w:p w14:paraId="4DD16176" w14:textId="77777777" w:rsidR="00BB5584" w:rsidRDefault="00506586">
            <w:pPr>
              <w:spacing w:beforeAutospacing="1" w:afterAutospacing="1"/>
              <w:jc w:val="right"/>
            </w:pPr>
            <w:r>
              <w:rPr>
                <w:color w:val="000000"/>
              </w:rPr>
              <w:t>0</w:t>
            </w:r>
          </w:p>
        </w:tc>
        <w:tc>
          <w:tcPr>
            <w:tcW w:w="1439" w:type="dxa"/>
            <w:vAlign w:val="bottom"/>
          </w:tcPr>
          <w:p w14:paraId="7494BBBD" w14:textId="77777777" w:rsidR="00BB5584" w:rsidRDefault="00506586">
            <w:pPr>
              <w:spacing w:beforeAutospacing="1" w:afterAutospacing="1"/>
              <w:jc w:val="right"/>
            </w:pPr>
            <w:r>
              <w:rPr>
                <w:color w:val="000000"/>
              </w:rPr>
              <w:t>0</w:t>
            </w:r>
          </w:p>
        </w:tc>
      </w:tr>
      <w:tr w:rsidR="00BB5584" w14:paraId="2D8BC7D3" w14:textId="77777777">
        <w:trPr>
          <w:cantSplit/>
        </w:trPr>
        <w:tc>
          <w:tcPr>
            <w:tcW w:w="1575" w:type="dxa"/>
          </w:tcPr>
          <w:p w14:paraId="7510659A" w14:textId="77777777" w:rsidR="00BB5584" w:rsidRDefault="00506586">
            <w:pPr>
              <w:spacing w:beforeAutospacing="1" w:afterAutospacing="1"/>
            </w:pPr>
            <w:r>
              <w:rPr>
                <w:color w:val="000000"/>
              </w:rPr>
              <w:t>Cost</w:t>
            </w:r>
          </w:p>
        </w:tc>
        <w:tc>
          <w:tcPr>
            <w:tcW w:w="801" w:type="dxa"/>
            <w:vAlign w:val="bottom"/>
          </w:tcPr>
          <w:p w14:paraId="1116B50B" w14:textId="77777777" w:rsidR="00BB5584" w:rsidRDefault="00506586">
            <w:pPr>
              <w:spacing w:beforeAutospacing="1" w:afterAutospacing="1"/>
              <w:jc w:val="right"/>
            </w:pPr>
            <w:r>
              <w:rPr>
                <w:color w:val="000000"/>
              </w:rPr>
              <w:t>0</w:t>
            </w:r>
          </w:p>
        </w:tc>
        <w:tc>
          <w:tcPr>
            <w:tcW w:w="1497" w:type="dxa"/>
            <w:vAlign w:val="bottom"/>
          </w:tcPr>
          <w:p w14:paraId="2F2C1048" w14:textId="77777777" w:rsidR="00BB5584" w:rsidRDefault="00506586">
            <w:pPr>
              <w:spacing w:beforeAutospacing="1" w:afterAutospacing="1"/>
              <w:jc w:val="right"/>
            </w:pPr>
            <w:r>
              <w:rPr>
                <w:color w:val="000000"/>
              </w:rPr>
              <w:t>0</w:t>
            </w:r>
          </w:p>
        </w:tc>
        <w:tc>
          <w:tcPr>
            <w:tcW w:w="1401" w:type="dxa"/>
            <w:vAlign w:val="bottom"/>
          </w:tcPr>
          <w:p w14:paraId="48797738" w14:textId="77777777" w:rsidR="00BB5584" w:rsidRDefault="00506586">
            <w:pPr>
              <w:spacing w:beforeAutospacing="1" w:afterAutospacing="1"/>
              <w:jc w:val="right"/>
            </w:pPr>
            <w:r>
              <w:rPr>
                <w:color w:val="000000"/>
              </w:rPr>
              <w:t>0</w:t>
            </w:r>
          </w:p>
        </w:tc>
        <w:tc>
          <w:tcPr>
            <w:tcW w:w="1439" w:type="dxa"/>
            <w:vAlign w:val="bottom"/>
          </w:tcPr>
          <w:p w14:paraId="76DF69BF" w14:textId="77777777" w:rsidR="00BB5584" w:rsidRDefault="00506586">
            <w:pPr>
              <w:spacing w:beforeAutospacing="1" w:afterAutospacing="1"/>
              <w:jc w:val="right"/>
            </w:pPr>
            <w:r>
              <w:rPr>
                <w:color w:val="000000"/>
              </w:rPr>
              <w:t>0</w:t>
            </w:r>
          </w:p>
        </w:tc>
        <w:tc>
          <w:tcPr>
            <w:tcW w:w="1438" w:type="dxa"/>
            <w:vAlign w:val="bottom"/>
          </w:tcPr>
          <w:p w14:paraId="73E8AC62" w14:textId="77777777" w:rsidR="00BB5584" w:rsidRDefault="00506586">
            <w:pPr>
              <w:spacing w:beforeAutospacing="1" w:afterAutospacing="1"/>
              <w:jc w:val="right"/>
            </w:pPr>
            <w:r>
              <w:rPr>
                <w:color w:val="000000"/>
              </w:rPr>
              <w:t>0</w:t>
            </w:r>
          </w:p>
        </w:tc>
        <w:tc>
          <w:tcPr>
            <w:tcW w:w="1439" w:type="dxa"/>
            <w:vAlign w:val="bottom"/>
          </w:tcPr>
          <w:p w14:paraId="402A304D" w14:textId="77777777" w:rsidR="00BB5584" w:rsidRDefault="00506586">
            <w:pPr>
              <w:spacing w:beforeAutospacing="1" w:afterAutospacing="1"/>
              <w:jc w:val="right"/>
            </w:pPr>
            <w:r>
              <w:rPr>
                <w:color w:val="000000"/>
              </w:rPr>
              <w:t>0</w:t>
            </w:r>
          </w:p>
        </w:tc>
      </w:tr>
    </w:tbl>
    <w:p w14:paraId="667DB8ED"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Relocation and Real Property Acquisition</w:t>
      </w:r>
    </w:p>
    <w:p w14:paraId="002C3CAF" w14:textId="77777777" w:rsidR="00BB5584" w:rsidRDefault="00BB5584">
      <w:pPr>
        <w:spacing w:after="0" w:line="240" w:lineRule="auto"/>
        <w:rPr>
          <w:b/>
        </w:rPr>
      </w:pPr>
    </w:p>
    <w:p w14:paraId="3C20BE38" w14:textId="77777777" w:rsidR="00BB5584" w:rsidRDefault="00BB5584">
      <w:pPr>
        <w:spacing w:after="0" w:line="240" w:lineRule="auto"/>
        <w:rPr>
          <w:b/>
        </w:rPr>
      </w:pPr>
    </w:p>
    <w:p w14:paraId="4F2E5079" w14:textId="77777777" w:rsidR="00BB5584" w:rsidRDefault="00BB5584">
      <w:pPr>
        <w:widowControl w:val="0"/>
        <w:spacing w:after="0" w:line="240" w:lineRule="auto"/>
        <w:rPr>
          <w:sz w:val="24"/>
          <w:szCs w:val="24"/>
        </w:rPr>
      </w:pPr>
    </w:p>
    <w:p w14:paraId="3ED209EC" w14:textId="77777777" w:rsidR="00BB5584" w:rsidRDefault="00BB5584">
      <w:pPr>
        <w:spacing w:after="0" w:line="240" w:lineRule="auto"/>
      </w:pPr>
      <w:bookmarkStart w:id="1" w:name="_Toc309810475"/>
    </w:p>
    <w:p w14:paraId="1AD38604" w14:textId="77777777" w:rsidR="00BB5584" w:rsidRDefault="00BB5584">
      <w:pPr>
        <w:sectPr w:rsidR="00BB5584">
          <w:pgSz w:w="12240" w:h="15840" w:code="1"/>
          <w:pgMar w:top="1440" w:right="1440" w:bottom="1440" w:left="1440" w:header="720" w:footer="720" w:gutter="0"/>
          <w:cols w:space="720"/>
          <w:docGrid w:linePitch="360"/>
        </w:sectPr>
      </w:pPr>
    </w:p>
    <w:p w14:paraId="3FC914C8" w14:textId="77777777" w:rsidR="00BB5584" w:rsidRDefault="00506586">
      <w:pPr>
        <w:pStyle w:val="Heading2"/>
        <w:rPr>
          <w:rFonts w:ascii="Calibri" w:hAnsi="Calibri"/>
          <w:i w:val="0"/>
        </w:rPr>
      </w:pPr>
      <w:r>
        <w:rPr>
          <w:rFonts w:ascii="Calibri" w:hAnsi="Calibri"/>
          <w:i w:val="0"/>
        </w:rPr>
        <w:lastRenderedPageBreak/>
        <w:t>CR-20 - Affordable Housing 91.520(b)</w:t>
      </w:r>
    </w:p>
    <w:p w14:paraId="202F0185" w14:textId="77777777" w:rsidR="00BB5584" w:rsidRDefault="00506586">
      <w:pPr>
        <w:keepNext/>
        <w:widowControl w:val="0"/>
        <w:spacing w:after="0" w:line="240" w:lineRule="auto"/>
        <w:rPr>
          <w:b/>
          <w:sz w:val="24"/>
          <w:szCs w:val="24"/>
        </w:rPr>
      </w:pPr>
      <w:r>
        <w:rPr>
          <w:b/>
          <w:sz w:val="24"/>
          <w:szCs w:val="24"/>
        </w:rPr>
        <w:t xml:space="preserve">Evaluation of the </w:t>
      </w:r>
      <w:r>
        <w:rPr>
          <w:b/>
          <w:sz w:val="24"/>
          <w:szCs w:val="24"/>
        </w:rPr>
        <w:t>jurisdiction's progress in providing affordable housing, including the number and types of families served, the number of extremely low-income, low-income, moderate-income, and middle-income persons served.</w:t>
      </w:r>
    </w:p>
    <w:p w14:paraId="4659FC05" w14:textId="77777777" w:rsidR="00BB5584" w:rsidRDefault="00BB5584">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BB5584" w14:paraId="16F1DEC7" w14:textId="77777777">
        <w:trPr>
          <w:cantSplit/>
          <w:tblHeader/>
        </w:trPr>
        <w:tc>
          <w:tcPr>
            <w:tcW w:w="4293" w:type="dxa"/>
          </w:tcPr>
          <w:p w14:paraId="05262835" w14:textId="77777777" w:rsidR="00BB5584" w:rsidRDefault="00BB5584">
            <w:pPr>
              <w:pStyle w:val="Caption"/>
              <w:keepNext/>
              <w:widowControl w:val="0"/>
              <w:jc w:val="center"/>
              <w:rPr>
                <w:rFonts w:ascii="Calibri" w:hAnsi="Calibri"/>
                <w:sz w:val="22"/>
                <w:szCs w:val="22"/>
              </w:rPr>
            </w:pPr>
          </w:p>
        </w:tc>
        <w:tc>
          <w:tcPr>
            <w:tcW w:w="2648" w:type="dxa"/>
          </w:tcPr>
          <w:p w14:paraId="23E12B4F" w14:textId="77777777" w:rsidR="00BB5584" w:rsidRDefault="00506586">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10473611" w14:textId="77777777" w:rsidR="00BB5584" w:rsidRDefault="00506586">
            <w:pPr>
              <w:pStyle w:val="Caption"/>
              <w:keepNext/>
              <w:widowControl w:val="0"/>
              <w:jc w:val="center"/>
              <w:rPr>
                <w:rFonts w:ascii="Calibri" w:hAnsi="Calibri"/>
                <w:sz w:val="22"/>
                <w:szCs w:val="22"/>
              </w:rPr>
            </w:pPr>
            <w:r>
              <w:rPr>
                <w:rFonts w:ascii="Calibri" w:hAnsi="Calibri"/>
                <w:sz w:val="22"/>
                <w:szCs w:val="22"/>
              </w:rPr>
              <w:t>Actual</w:t>
            </w:r>
          </w:p>
        </w:tc>
      </w:tr>
      <w:tr w:rsidR="00BB5584" w14:paraId="3FC51393" w14:textId="77777777">
        <w:trPr>
          <w:cantSplit/>
        </w:trPr>
        <w:tc>
          <w:tcPr>
            <w:tcW w:w="4293" w:type="dxa"/>
            <w:vAlign w:val="bottom"/>
          </w:tcPr>
          <w:p w14:paraId="57FC3F66" w14:textId="77777777" w:rsidR="00BB5584" w:rsidRDefault="00506586">
            <w:pPr>
              <w:spacing w:beforeAutospacing="1" w:afterAutospacing="1"/>
            </w:pPr>
            <w:r>
              <w:rPr>
                <w:color w:val="000000"/>
              </w:rPr>
              <w:t>Number of Homeless households to be provided affordable housing units</w:t>
            </w:r>
          </w:p>
        </w:tc>
        <w:tc>
          <w:tcPr>
            <w:tcW w:w="2648" w:type="dxa"/>
            <w:vAlign w:val="bottom"/>
          </w:tcPr>
          <w:p w14:paraId="0319145C" w14:textId="77777777" w:rsidR="00BB5584" w:rsidRDefault="00506586">
            <w:pPr>
              <w:spacing w:beforeAutospacing="1" w:afterAutospacing="1"/>
              <w:jc w:val="right"/>
            </w:pPr>
            <w:r>
              <w:rPr>
                <w:color w:val="000000"/>
              </w:rPr>
              <w:t>0</w:t>
            </w:r>
          </w:p>
        </w:tc>
        <w:tc>
          <w:tcPr>
            <w:tcW w:w="2649" w:type="dxa"/>
            <w:vAlign w:val="bottom"/>
          </w:tcPr>
          <w:p w14:paraId="742EBAE7" w14:textId="77777777" w:rsidR="00BB5584" w:rsidRDefault="00506586">
            <w:pPr>
              <w:spacing w:beforeAutospacing="1" w:afterAutospacing="1"/>
              <w:jc w:val="right"/>
            </w:pPr>
            <w:r>
              <w:rPr>
                <w:color w:val="000000"/>
              </w:rPr>
              <w:t>0</w:t>
            </w:r>
          </w:p>
        </w:tc>
      </w:tr>
      <w:tr w:rsidR="00BB5584" w14:paraId="1C7D07E0" w14:textId="77777777">
        <w:trPr>
          <w:cantSplit/>
        </w:trPr>
        <w:tc>
          <w:tcPr>
            <w:tcW w:w="4293" w:type="dxa"/>
            <w:vAlign w:val="bottom"/>
          </w:tcPr>
          <w:p w14:paraId="068CCF4A" w14:textId="77777777" w:rsidR="00BB5584" w:rsidRDefault="00506586">
            <w:pPr>
              <w:spacing w:beforeAutospacing="1" w:afterAutospacing="1"/>
            </w:pPr>
            <w:r>
              <w:rPr>
                <w:color w:val="000000"/>
              </w:rPr>
              <w:t>Number of Non-Homeless households to be provided affordable housing units</w:t>
            </w:r>
          </w:p>
        </w:tc>
        <w:tc>
          <w:tcPr>
            <w:tcW w:w="2648" w:type="dxa"/>
            <w:vAlign w:val="bottom"/>
          </w:tcPr>
          <w:p w14:paraId="62F8F809" w14:textId="77777777" w:rsidR="00BB5584" w:rsidRDefault="00506586">
            <w:pPr>
              <w:spacing w:beforeAutospacing="1" w:afterAutospacing="1"/>
              <w:jc w:val="right"/>
            </w:pPr>
            <w:r>
              <w:rPr>
                <w:color w:val="000000"/>
              </w:rPr>
              <w:t>15</w:t>
            </w:r>
          </w:p>
        </w:tc>
        <w:tc>
          <w:tcPr>
            <w:tcW w:w="2649" w:type="dxa"/>
            <w:vAlign w:val="bottom"/>
          </w:tcPr>
          <w:p w14:paraId="04506D48" w14:textId="77777777" w:rsidR="00BB5584" w:rsidRDefault="00506586">
            <w:pPr>
              <w:spacing w:beforeAutospacing="1" w:afterAutospacing="1"/>
              <w:jc w:val="right"/>
            </w:pPr>
            <w:r>
              <w:rPr>
                <w:color w:val="000000"/>
              </w:rPr>
              <w:t>8</w:t>
            </w:r>
          </w:p>
        </w:tc>
      </w:tr>
      <w:tr w:rsidR="00BB5584" w14:paraId="72093B43" w14:textId="77777777">
        <w:trPr>
          <w:cantSplit/>
        </w:trPr>
        <w:tc>
          <w:tcPr>
            <w:tcW w:w="4293" w:type="dxa"/>
            <w:vAlign w:val="bottom"/>
          </w:tcPr>
          <w:p w14:paraId="03A3D001" w14:textId="77777777" w:rsidR="00BB5584" w:rsidRDefault="00506586">
            <w:pPr>
              <w:spacing w:beforeAutospacing="1" w:afterAutospacing="1"/>
            </w:pPr>
            <w:r>
              <w:rPr>
                <w:color w:val="000000"/>
              </w:rPr>
              <w:t>Number of Special-Needs households to be provided affordable housing units</w:t>
            </w:r>
          </w:p>
        </w:tc>
        <w:tc>
          <w:tcPr>
            <w:tcW w:w="2648" w:type="dxa"/>
            <w:vAlign w:val="bottom"/>
          </w:tcPr>
          <w:p w14:paraId="3E6F6F9C" w14:textId="77777777" w:rsidR="00BB5584" w:rsidRDefault="00506586">
            <w:pPr>
              <w:spacing w:beforeAutospacing="1" w:afterAutospacing="1"/>
              <w:jc w:val="right"/>
            </w:pPr>
            <w:r>
              <w:rPr>
                <w:color w:val="000000"/>
              </w:rPr>
              <w:t>0</w:t>
            </w:r>
          </w:p>
        </w:tc>
        <w:tc>
          <w:tcPr>
            <w:tcW w:w="2649" w:type="dxa"/>
            <w:vAlign w:val="bottom"/>
          </w:tcPr>
          <w:p w14:paraId="541984D1" w14:textId="77777777" w:rsidR="00BB5584" w:rsidRDefault="00506586">
            <w:pPr>
              <w:spacing w:beforeAutospacing="1" w:afterAutospacing="1"/>
              <w:jc w:val="right"/>
            </w:pPr>
            <w:r>
              <w:rPr>
                <w:color w:val="000000"/>
              </w:rPr>
              <w:t>0</w:t>
            </w:r>
          </w:p>
        </w:tc>
      </w:tr>
      <w:tr w:rsidR="00BB5584" w14:paraId="0EEA4407" w14:textId="77777777">
        <w:trPr>
          <w:cantSplit/>
        </w:trPr>
        <w:tc>
          <w:tcPr>
            <w:tcW w:w="4293" w:type="dxa"/>
          </w:tcPr>
          <w:p w14:paraId="67336469" w14:textId="77777777" w:rsidR="00BB5584" w:rsidRDefault="00506586">
            <w:pPr>
              <w:spacing w:beforeAutospacing="1" w:afterAutospacing="1"/>
            </w:pPr>
            <w:r>
              <w:rPr>
                <w:b/>
                <w:color w:val="000000"/>
              </w:rPr>
              <w:t>Total</w:t>
            </w:r>
          </w:p>
        </w:tc>
        <w:tc>
          <w:tcPr>
            <w:tcW w:w="2648" w:type="dxa"/>
            <w:vAlign w:val="bottom"/>
          </w:tcPr>
          <w:p w14:paraId="399FFFB7" w14:textId="77777777" w:rsidR="00BB5584" w:rsidRDefault="00506586">
            <w:pPr>
              <w:spacing w:beforeAutospacing="1" w:afterAutospacing="1"/>
              <w:jc w:val="right"/>
            </w:pPr>
            <w:r>
              <w:rPr>
                <w:b/>
                <w:color w:val="000000"/>
              </w:rPr>
              <w:t>15</w:t>
            </w:r>
          </w:p>
        </w:tc>
        <w:tc>
          <w:tcPr>
            <w:tcW w:w="2649" w:type="dxa"/>
            <w:vAlign w:val="bottom"/>
          </w:tcPr>
          <w:p w14:paraId="4A21D4B7" w14:textId="77777777" w:rsidR="00BB5584" w:rsidRDefault="00506586">
            <w:pPr>
              <w:spacing w:beforeAutospacing="1" w:afterAutospacing="1"/>
              <w:jc w:val="right"/>
            </w:pPr>
            <w:r>
              <w:rPr>
                <w:b/>
                <w:color w:val="000000"/>
              </w:rPr>
              <w:t>8</w:t>
            </w:r>
          </w:p>
        </w:tc>
      </w:tr>
    </w:tbl>
    <w:p w14:paraId="4C408853"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14:paraId="62BAB270" w14:textId="77777777" w:rsidR="00BB5584" w:rsidRDefault="00BB5584"/>
    <w:p w14:paraId="2F5C6E2C" w14:textId="77777777" w:rsidR="00BB5584" w:rsidRDefault="00BB5584"/>
    <w:p w14:paraId="07FB4EA7" w14:textId="77777777" w:rsidR="00BB5584" w:rsidRDefault="00BB5584">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BB5584" w14:paraId="441F4AFA" w14:textId="77777777">
        <w:trPr>
          <w:cantSplit/>
          <w:tblHeader/>
        </w:trPr>
        <w:tc>
          <w:tcPr>
            <w:tcW w:w="4293" w:type="dxa"/>
          </w:tcPr>
          <w:p w14:paraId="4F0506C7" w14:textId="77777777" w:rsidR="00BB5584" w:rsidRDefault="00BB5584">
            <w:pPr>
              <w:pStyle w:val="Caption"/>
              <w:keepNext/>
              <w:widowControl w:val="0"/>
              <w:jc w:val="center"/>
              <w:rPr>
                <w:rFonts w:ascii="Calibri" w:hAnsi="Calibri"/>
                <w:sz w:val="22"/>
                <w:szCs w:val="22"/>
              </w:rPr>
            </w:pPr>
          </w:p>
        </w:tc>
        <w:tc>
          <w:tcPr>
            <w:tcW w:w="2648" w:type="dxa"/>
          </w:tcPr>
          <w:p w14:paraId="0EE1DD48" w14:textId="77777777" w:rsidR="00BB5584" w:rsidRDefault="00506586">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09F2D698" w14:textId="77777777" w:rsidR="00BB5584" w:rsidRDefault="00506586">
            <w:pPr>
              <w:pStyle w:val="Caption"/>
              <w:keepNext/>
              <w:widowControl w:val="0"/>
              <w:jc w:val="center"/>
              <w:rPr>
                <w:rFonts w:ascii="Calibri" w:hAnsi="Calibri"/>
                <w:sz w:val="22"/>
                <w:szCs w:val="22"/>
              </w:rPr>
            </w:pPr>
            <w:r>
              <w:rPr>
                <w:rFonts w:ascii="Calibri" w:hAnsi="Calibri"/>
                <w:sz w:val="22"/>
                <w:szCs w:val="22"/>
              </w:rPr>
              <w:t>Actual</w:t>
            </w:r>
          </w:p>
        </w:tc>
      </w:tr>
      <w:tr w:rsidR="00BB5584" w14:paraId="3E315BED" w14:textId="77777777">
        <w:trPr>
          <w:cantSplit/>
        </w:trPr>
        <w:tc>
          <w:tcPr>
            <w:tcW w:w="4293" w:type="dxa"/>
            <w:vAlign w:val="bottom"/>
          </w:tcPr>
          <w:p w14:paraId="7F8C36C7" w14:textId="77777777" w:rsidR="00BB5584" w:rsidRDefault="00506586">
            <w:pPr>
              <w:spacing w:beforeAutospacing="1" w:afterAutospacing="1"/>
            </w:pPr>
            <w:r>
              <w:rPr>
                <w:color w:val="000000"/>
              </w:rPr>
              <w:t>Number of households supported through Rental Assistance</w:t>
            </w:r>
          </w:p>
        </w:tc>
        <w:tc>
          <w:tcPr>
            <w:tcW w:w="2648" w:type="dxa"/>
            <w:vAlign w:val="bottom"/>
          </w:tcPr>
          <w:p w14:paraId="411E67F4" w14:textId="77777777" w:rsidR="00BB5584" w:rsidRDefault="00506586">
            <w:pPr>
              <w:spacing w:beforeAutospacing="1" w:afterAutospacing="1"/>
              <w:jc w:val="right"/>
            </w:pPr>
            <w:r>
              <w:rPr>
                <w:color w:val="000000"/>
              </w:rPr>
              <w:t>0</w:t>
            </w:r>
          </w:p>
        </w:tc>
        <w:tc>
          <w:tcPr>
            <w:tcW w:w="2649" w:type="dxa"/>
            <w:vAlign w:val="bottom"/>
          </w:tcPr>
          <w:p w14:paraId="4686D8A0" w14:textId="77777777" w:rsidR="00BB5584" w:rsidRDefault="00506586">
            <w:pPr>
              <w:spacing w:beforeAutospacing="1" w:afterAutospacing="1"/>
              <w:jc w:val="right"/>
            </w:pPr>
            <w:r>
              <w:rPr>
                <w:color w:val="000000"/>
              </w:rPr>
              <w:t>0</w:t>
            </w:r>
          </w:p>
        </w:tc>
      </w:tr>
      <w:tr w:rsidR="00BB5584" w14:paraId="6256E5F2" w14:textId="77777777">
        <w:trPr>
          <w:cantSplit/>
        </w:trPr>
        <w:tc>
          <w:tcPr>
            <w:tcW w:w="4293" w:type="dxa"/>
            <w:vAlign w:val="bottom"/>
          </w:tcPr>
          <w:p w14:paraId="06A058DC" w14:textId="77777777" w:rsidR="00BB5584" w:rsidRDefault="00506586">
            <w:pPr>
              <w:spacing w:beforeAutospacing="1" w:afterAutospacing="1"/>
            </w:pPr>
            <w:r>
              <w:rPr>
                <w:color w:val="000000"/>
              </w:rPr>
              <w:t>Number of households supported through The Production of New Units</w:t>
            </w:r>
          </w:p>
        </w:tc>
        <w:tc>
          <w:tcPr>
            <w:tcW w:w="2648" w:type="dxa"/>
            <w:vAlign w:val="bottom"/>
          </w:tcPr>
          <w:p w14:paraId="507DA785" w14:textId="77777777" w:rsidR="00BB5584" w:rsidRDefault="00506586">
            <w:pPr>
              <w:spacing w:beforeAutospacing="1" w:afterAutospacing="1"/>
              <w:jc w:val="right"/>
            </w:pPr>
            <w:r>
              <w:rPr>
                <w:color w:val="000000"/>
              </w:rPr>
              <w:t>5</w:t>
            </w:r>
          </w:p>
        </w:tc>
        <w:tc>
          <w:tcPr>
            <w:tcW w:w="2649" w:type="dxa"/>
            <w:vAlign w:val="bottom"/>
          </w:tcPr>
          <w:p w14:paraId="7F906A9C" w14:textId="77777777" w:rsidR="00BB5584" w:rsidRDefault="00506586">
            <w:pPr>
              <w:spacing w:beforeAutospacing="1" w:afterAutospacing="1"/>
              <w:jc w:val="right"/>
            </w:pPr>
            <w:r>
              <w:rPr>
                <w:color w:val="000000"/>
              </w:rPr>
              <w:t>0</w:t>
            </w:r>
          </w:p>
        </w:tc>
      </w:tr>
      <w:tr w:rsidR="00BB5584" w14:paraId="3A4E25C7" w14:textId="77777777">
        <w:trPr>
          <w:cantSplit/>
        </w:trPr>
        <w:tc>
          <w:tcPr>
            <w:tcW w:w="4293" w:type="dxa"/>
            <w:vAlign w:val="bottom"/>
          </w:tcPr>
          <w:p w14:paraId="3AC057BF" w14:textId="77777777" w:rsidR="00BB5584" w:rsidRDefault="00506586">
            <w:pPr>
              <w:spacing w:beforeAutospacing="1" w:afterAutospacing="1"/>
            </w:pPr>
            <w:r>
              <w:rPr>
                <w:color w:val="000000"/>
              </w:rPr>
              <w:t>Number of households supported through Rehab of Existing Units</w:t>
            </w:r>
          </w:p>
        </w:tc>
        <w:tc>
          <w:tcPr>
            <w:tcW w:w="2648" w:type="dxa"/>
            <w:vAlign w:val="bottom"/>
          </w:tcPr>
          <w:p w14:paraId="7FF30443" w14:textId="77777777" w:rsidR="00BB5584" w:rsidRDefault="00506586">
            <w:pPr>
              <w:spacing w:beforeAutospacing="1" w:afterAutospacing="1"/>
              <w:jc w:val="right"/>
            </w:pPr>
            <w:r>
              <w:rPr>
                <w:color w:val="000000"/>
              </w:rPr>
              <w:t>20</w:t>
            </w:r>
          </w:p>
        </w:tc>
        <w:tc>
          <w:tcPr>
            <w:tcW w:w="2649" w:type="dxa"/>
            <w:vAlign w:val="bottom"/>
          </w:tcPr>
          <w:p w14:paraId="28F7824A" w14:textId="77777777" w:rsidR="00BB5584" w:rsidRDefault="00506586">
            <w:pPr>
              <w:spacing w:beforeAutospacing="1" w:afterAutospacing="1"/>
              <w:jc w:val="right"/>
            </w:pPr>
            <w:r>
              <w:rPr>
                <w:color w:val="000000"/>
              </w:rPr>
              <w:t>8</w:t>
            </w:r>
          </w:p>
        </w:tc>
      </w:tr>
      <w:tr w:rsidR="00BB5584" w14:paraId="037E1862" w14:textId="77777777">
        <w:trPr>
          <w:cantSplit/>
        </w:trPr>
        <w:tc>
          <w:tcPr>
            <w:tcW w:w="4293" w:type="dxa"/>
            <w:vAlign w:val="bottom"/>
          </w:tcPr>
          <w:p w14:paraId="630C156A" w14:textId="77777777" w:rsidR="00BB5584" w:rsidRDefault="00506586">
            <w:pPr>
              <w:spacing w:beforeAutospacing="1" w:afterAutospacing="1"/>
            </w:pPr>
            <w:r>
              <w:rPr>
                <w:color w:val="000000"/>
              </w:rPr>
              <w:t>Number of households supported through Acquisition of Existing Units</w:t>
            </w:r>
          </w:p>
        </w:tc>
        <w:tc>
          <w:tcPr>
            <w:tcW w:w="2648" w:type="dxa"/>
            <w:vAlign w:val="bottom"/>
          </w:tcPr>
          <w:p w14:paraId="619E6058" w14:textId="77777777" w:rsidR="00BB5584" w:rsidRDefault="00506586">
            <w:pPr>
              <w:spacing w:beforeAutospacing="1" w:afterAutospacing="1"/>
              <w:jc w:val="right"/>
            </w:pPr>
            <w:r>
              <w:rPr>
                <w:color w:val="000000"/>
              </w:rPr>
              <w:t>0</w:t>
            </w:r>
          </w:p>
        </w:tc>
        <w:tc>
          <w:tcPr>
            <w:tcW w:w="2649" w:type="dxa"/>
            <w:vAlign w:val="bottom"/>
          </w:tcPr>
          <w:p w14:paraId="13E2EBD5" w14:textId="77777777" w:rsidR="00BB5584" w:rsidRDefault="00506586">
            <w:pPr>
              <w:spacing w:beforeAutospacing="1" w:afterAutospacing="1"/>
              <w:jc w:val="right"/>
            </w:pPr>
            <w:r>
              <w:rPr>
                <w:color w:val="000000"/>
              </w:rPr>
              <w:t>0</w:t>
            </w:r>
          </w:p>
        </w:tc>
      </w:tr>
      <w:tr w:rsidR="00BB5584" w14:paraId="069D7C1E" w14:textId="77777777">
        <w:trPr>
          <w:cantSplit/>
        </w:trPr>
        <w:tc>
          <w:tcPr>
            <w:tcW w:w="4293" w:type="dxa"/>
          </w:tcPr>
          <w:p w14:paraId="177A1E74" w14:textId="77777777" w:rsidR="00BB5584" w:rsidRDefault="00506586">
            <w:pPr>
              <w:spacing w:beforeAutospacing="1" w:afterAutospacing="1"/>
            </w:pPr>
            <w:r>
              <w:rPr>
                <w:b/>
                <w:color w:val="000000"/>
              </w:rPr>
              <w:t>Total</w:t>
            </w:r>
          </w:p>
        </w:tc>
        <w:tc>
          <w:tcPr>
            <w:tcW w:w="2648" w:type="dxa"/>
            <w:vAlign w:val="bottom"/>
          </w:tcPr>
          <w:p w14:paraId="42EEFA1E" w14:textId="77777777" w:rsidR="00BB5584" w:rsidRDefault="00506586">
            <w:pPr>
              <w:spacing w:beforeAutospacing="1" w:afterAutospacing="1"/>
              <w:jc w:val="right"/>
            </w:pPr>
            <w:r>
              <w:rPr>
                <w:b/>
                <w:color w:val="000000"/>
              </w:rPr>
              <w:t>25</w:t>
            </w:r>
          </w:p>
        </w:tc>
        <w:tc>
          <w:tcPr>
            <w:tcW w:w="2649" w:type="dxa"/>
            <w:vAlign w:val="bottom"/>
          </w:tcPr>
          <w:p w14:paraId="64FE30A8" w14:textId="77777777" w:rsidR="00BB5584" w:rsidRDefault="00506586">
            <w:pPr>
              <w:spacing w:beforeAutospacing="1" w:afterAutospacing="1"/>
              <w:jc w:val="right"/>
            </w:pPr>
            <w:r>
              <w:rPr>
                <w:b/>
                <w:color w:val="000000"/>
              </w:rPr>
              <w:t>8</w:t>
            </w:r>
          </w:p>
        </w:tc>
      </w:tr>
    </w:tbl>
    <w:p w14:paraId="62AF51A1"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14:paraId="7ADB794F" w14:textId="77777777" w:rsidR="00BB5584" w:rsidRDefault="00BB5584">
      <w:pPr>
        <w:rPr>
          <w:rFonts w:cs="Arial"/>
        </w:rPr>
      </w:pPr>
    </w:p>
    <w:p w14:paraId="50C9B426" w14:textId="77777777" w:rsidR="00BB5584" w:rsidRDefault="00BB5584">
      <w:pPr>
        <w:rPr>
          <w:rFonts w:cs="Arial"/>
        </w:rPr>
      </w:pPr>
    </w:p>
    <w:p w14:paraId="6510F7BC" w14:textId="77777777" w:rsidR="00BB5584" w:rsidRDefault="00506586">
      <w:pPr>
        <w:widowControl w:val="0"/>
        <w:spacing w:line="204" w:lineRule="auto"/>
        <w:rPr>
          <w:b/>
          <w:sz w:val="24"/>
          <w:szCs w:val="24"/>
        </w:rPr>
      </w:pPr>
      <w:r>
        <w:rPr>
          <w:b/>
          <w:sz w:val="24"/>
          <w:szCs w:val="24"/>
        </w:rPr>
        <w:t xml:space="preserve">Discuss the difference </w:t>
      </w:r>
      <w:r>
        <w:rPr>
          <w:b/>
          <w:sz w:val="24"/>
          <w:szCs w:val="24"/>
        </w:rPr>
        <w:t>between goals and outcomes and problems encountered in meeting these goals.</w:t>
      </w:r>
    </w:p>
    <w:p w14:paraId="56FCD0A5" w14:textId="77777777" w:rsidR="00BB5584" w:rsidRDefault="00506586">
      <w:pPr>
        <w:spacing w:beforeAutospacing="1" w:afterAutospacing="1"/>
        <w:rPr>
          <w:rFonts w:cs="Arial"/>
        </w:rPr>
      </w:pPr>
      <w:r>
        <w:rPr>
          <w:rFonts w:cs="Arial"/>
        </w:rPr>
        <w:t>The City of Tyler, through its Critical Home Repair Program, assisted in rehabilitating eight (8) existing owner-occupied housing units. </w:t>
      </w:r>
    </w:p>
    <w:p w14:paraId="3BDD329E" w14:textId="77777777" w:rsidR="00BB5584" w:rsidRDefault="00506586">
      <w:pPr>
        <w:widowControl w:val="0"/>
        <w:spacing w:line="204" w:lineRule="auto"/>
        <w:rPr>
          <w:b/>
          <w:sz w:val="24"/>
          <w:szCs w:val="24"/>
        </w:rPr>
      </w:pPr>
      <w:r>
        <w:rPr>
          <w:b/>
          <w:sz w:val="24"/>
          <w:szCs w:val="24"/>
        </w:rPr>
        <w:t>Discuss how these outcomes will impact fut</w:t>
      </w:r>
      <w:r>
        <w:rPr>
          <w:b/>
          <w:sz w:val="24"/>
          <w:szCs w:val="24"/>
        </w:rPr>
        <w:t>ure annual action plans.</w:t>
      </w:r>
    </w:p>
    <w:p w14:paraId="2FEBA7B9" w14:textId="77777777" w:rsidR="00BB5584" w:rsidRDefault="00506586">
      <w:pPr>
        <w:spacing w:beforeAutospacing="1" w:afterAutospacing="1"/>
        <w:rPr>
          <w:rFonts w:cs="Arial"/>
        </w:rPr>
      </w:pPr>
      <w:r>
        <w:rPr>
          <w:rFonts w:cs="Arial"/>
        </w:rPr>
        <w:lastRenderedPageBreak/>
        <w:t>The City of Tyler continually evaluates its annual action plans to ensure that each annual action plan contains goals that are reasonable and achievable for the upcoming year. For Program Year 2020, the conitued coronavirus concern</w:t>
      </w:r>
      <w:r>
        <w:rPr>
          <w:rFonts w:cs="Arial"/>
        </w:rPr>
        <w:t>s and turnover in staff were unforeseen and unforeseeable events. Other issues may arise annually, such as changes in the housing market or economy. These issues are generally foreseeable based on a review of statistical data and contacting the persons who</w:t>
      </w:r>
      <w:r>
        <w:rPr>
          <w:rFonts w:cs="Arial"/>
        </w:rPr>
        <w:t xml:space="preserve"> have the expertise to make predictions. </w:t>
      </w:r>
    </w:p>
    <w:p w14:paraId="7E8E3341" w14:textId="77777777" w:rsidR="00BB5584" w:rsidRDefault="00506586">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14:paraId="305136A8" w14:textId="77777777" w:rsidR="00BB5584" w:rsidRDefault="00BB5584">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BB5584" w14:paraId="01D733FF" w14:textId="77777777">
        <w:trPr>
          <w:cantSplit/>
        </w:trPr>
        <w:tc>
          <w:tcPr>
            <w:tcW w:w="4081" w:type="dxa"/>
          </w:tcPr>
          <w:p w14:paraId="36AA9031" w14:textId="77777777" w:rsidR="00BB5584" w:rsidRDefault="00506586">
            <w:pPr>
              <w:keepNext/>
              <w:widowControl w:val="0"/>
              <w:spacing w:after="0" w:line="240" w:lineRule="auto"/>
              <w:jc w:val="center"/>
              <w:rPr>
                <w:b/>
              </w:rPr>
            </w:pPr>
            <w:r>
              <w:rPr>
                <w:b/>
              </w:rPr>
              <w:t>Numb</w:t>
            </w:r>
            <w:r>
              <w:rPr>
                <w:b/>
              </w:rPr>
              <w:t>er  of Households Served</w:t>
            </w:r>
          </w:p>
        </w:tc>
        <w:tc>
          <w:tcPr>
            <w:tcW w:w="1859" w:type="dxa"/>
          </w:tcPr>
          <w:p w14:paraId="486A7461" w14:textId="77777777" w:rsidR="00BB5584" w:rsidRDefault="00506586">
            <w:pPr>
              <w:keepNext/>
              <w:widowControl w:val="0"/>
              <w:spacing w:after="0" w:line="240" w:lineRule="auto"/>
              <w:jc w:val="center"/>
              <w:rPr>
                <w:b/>
              </w:rPr>
            </w:pPr>
            <w:r>
              <w:rPr>
                <w:b/>
              </w:rPr>
              <w:t>CDBG Actual</w:t>
            </w:r>
          </w:p>
        </w:tc>
        <w:tc>
          <w:tcPr>
            <w:tcW w:w="1915" w:type="dxa"/>
            <w:gridSpan w:val="2"/>
          </w:tcPr>
          <w:p w14:paraId="36FF7924" w14:textId="77777777" w:rsidR="00BB5584" w:rsidRDefault="00506586">
            <w:pPr>
              <w:keepNext/>
              <w:widowControl w:val="0"/>
              <w:spacing w:after="0" w:line="240" w:lineRule="auto"/>
              <w:jc w:val="center"/>
              <w:rPr>
                <w:b/>
              </w:rPr>
            </w:pPr>
            <w:r>
              <w:rPr>
                <w:b/>
              </w:rPr>
              <w:t>HOME Actual</w:t>
            </w:r>
          </w:p>
        </w:tc>
      </w:tr>
      <w:tr w:rsidR="00BB5584" w14:paraId="3BDC8E38" w14:textId="77777777">
        <w:trPr>
          <w:gridAfter w:val="1"/>
          <w:wAfter w:w="25" w:type="dxa"/>
          <w:cantSplit/>
        </w:trPr>
        <w:tc>
          <w:tcPr>
            <w:tcW w:w="4081" w:type="dxa"/>
            <w:vAlign w:val="bottom"/>
          </w:tcPr>
          <w:p w14:paraId="37F26FEA" w14:textId="77777777" w:rsidR="00BB5584" w:rsidRDefault="00506586">
            <w:pPr>
              <w:spacing w:beforeAutospacing="1" w:afterAutospacing="1"/>
            </w:pPr>
            <w:r>
              <w:rPr>
                <w:color w:val="000000"/>
              </w:rPr>
              <w:t>Extremely Low-income</w:t>
            </w:r>
          </w:p>
        </w:tc>
        <w:tc>
          <w:tcPr>
            <w:tcW w:w="1859" w:type="dxa"/>
            <w:vAlign w:val="bottom"/>
          </w:tcPr>
          <w:p w14:paraId="6ABC3947" w14:textId="77777777" w:rsidR="00BB5584" w:rsidRDefault="00506586">
            <w:pPr>
              <w:spacing w:beforeAutospacing="1" w:afterAutospacing="1"/>
              <w:jc w:val="right"/>
            </w:pPr>
            <w:r>
              <w:rPr>
                <w:color w:val="000000"/>
              </w:rPr>
              <w:t>2</w:t>
            </w:r>
          </w:p>
        </w:tc>
        <w:tc>
          <w:tcPr>
            <w:tcW w:w="1890" w:type="dxa"/>
            <w:vAlign w:val="bottom"/>
          </w:tcPr>
          <w:p w14:paraId="51EE3E65" w14:textId="77777777" w:rsidR="00BB5584" w:rsidRDefault="00506586">
            <w:pPr>
              <w:spacing w:beforeAutospacing="1" w:afterAutospacing="1"/>
              <w:jc w:val="right"/>
            </w:pPr>
            <w:r>
              <w:rPr>
                <w:color w:val="000000"/>
              </w:rPr>
              <w:t>0</w:t>
            </w:r>
          </w:p>
        </w:tc>
      </w:tr>
      <w:tr w:rsidR="00BB5584" w14:paraId="16E2D54C" w14:textId="77777777">
        <w:trPr>
          <w:gridAfter w:val="1"/>
          <w:wAfter w:w="25" w:type="dxa"/>
          <w:cantSplit/>
        </w:trPr>
        <w:tc>
          <w:tcPr>
            <w:tcW w:w="4081" w:type="dxa"/>
            <w:vAlign w:val="bottom"/>
          </w:tcPr>
          <w:p w14:paraId="1748D8E8" w14:textId="77777777" w:rsidR="00BB5584" w:rsidRDefault="00506586">
            <w:pPr>
              <w:spacing w:beforeAutospacing="1" w:afterAutospacing="1"/>
            </w:pPr>
            <w:r>
              <w:rPr>
                <w:color w:val="000000"/>
              </w:rPr>
              <w:t>Low-income</w:t>
            </w:r>
          </w:p>
        </w:tc>
        <w:tc>
          <w:tcPr>
            <w:tcW w:w="1859" w:type="dxa"/>
            <w:vAlign w:val="bottom"/>
          </w:tcPr>
          <w:p w14:paraId="60B5F899" w14:textId="77777777" w:rsidR="00BB5584" w:rsidRDefault="00506586">
            <w:pPr>
              <w:spacing w:beforeAutospacing="1" w:afterAutospacing="1"/>
              <w:jc w:val="right"/>
            </w:pPr>
            <w:r>
              <w:rPr>
                <w:color w:val="000000"/>
              </w:rPr>
              <w:t>0</w:t>
            </w:r>
          </w:p>
        </w:tc>
        <w:tc>
          <w:tcPr>
            <w:tcW w:w="1890" w:type="dxa"/>
            <w:vAlign w:val="bottom"/>
          </w:tcPr>
          <w:p w14:paraId="400EE7E3" w14:textId="77777777" w:rsidR="00BB5584" w:rsidRDefault="00506586">
            <w:pPr>
              <w:spacing w:beforeAutospacing="1" w:afterAutospacing="1"/>
              <w:jc w:val="right"/>
            </w:pPr>
            <w:r>
              <w:rPr>
                <w:color w:val="000000"/>
              </w:rPr>
              <w:t>0</w:t>
            </w:r>
          </w:p>
        </w:tc>
      </w:tr>
      <w:tr w:rsidR="00BB5584" w14:paraId="53BFA46A" w14:textId="77777777">
        <w:trPr>
          <w:gridAfter w:val="1"/>
          <w:wAfter w:w="25" w:type="dxa"/>
          <w:cantSplit/>
        </w:trPr>
        <w:tc>
          <w:tcPr>
            <w:tcW w:w="4081" w:type="dxa"/>
            <w:vAlign w:val="bottom"/>
          </w:tcPr>
          <w:p w14:paraId="171D7252" w14:textId="77777777" w:rsidR="00BB5584" w:rsidRDefault="00506586">
            <w:pPr>
              <w:spacing w:beforeAutospacing="1" w:afterAutospacing="1"/>
            </w:pPr>
            <w:r>
              <w:rPr>
                <w:color w:val="000000"/>
              </w:rPr>
              <w:t>Moderate-income</w:t>
            </w:r>
          </w:p>
        </w:tc>
        <w:tc>
          <w:tcPr>
            <w:tcW w:w="1859" w:type="dxa"/>
            <w:vAlign w:val="bottom"/>
          </w:tcPr>
          <w:p w14:paraId="5FB75F9F" w14:textId="77777777" w:rsidR="00BB5584" w:rsidRDefault="00506586">
            <w:pPr>
              <w:spacing w:beforeAutospacing="1" w:afterAutospacing="1"/>
              <w:jc w:val="right"/>
            </w:pPr>
            <w:r>
              <w:rPr>
                <w:color w:val="000000"/>
              </w:rPr>
              <w:t>3</w:t>
            </w:r>
          </w:p>
        </w:tc>
        <w:tc>
          <w:tcPr>
            <w:tcW w:w="1890" w:type="dxa"/>
            <w:vAlign w:val="bottom"/>
          </w:tcPr>
          <w:p w14:paraId="18DC3A92" w14:textId="77777777" w:rsidR="00BB5584" w:rsidRDefault="00506586">
            <w:pPr>
              <w:spacing w:beforeAutospacing="1" w:afterAutospacing="1"/>
              <w:jc w:val="right"/>
            </w:pPr>
            <w:r>
              <w:rPr>
                <w:color w:val="000000"/>
              </w:rPr>
              <w:t>0</w:t>
            </w:r>
          </w:p>
        </w:tc>
      </w:tr>
      <w:tr w:rsidR="00BB5584" w14:paraId="54B5AE00" w14:textId="77777777">
        <w:trPr>
          <w:gridAfter w:val="1"/>
          <w:wAfter w:w="25" w:type="dxa"/>
          <w:cantSplit/>
        </w:trPr>
        <w:tc>
          <w:tcPr>
            <w:tcW w:w="4081" w:type="dxa"/>
            <w:vAlign w:val="bottom"/>
          </w:tcPr>
          <w:p w14:paraId="7A136B3E" w14:textId="77777777" w:rsidR="00BB5584" w:rsidRDefault="00506586">
            <w:pPr>
              <w:spacing w:beforeAutospacing="1" w:afterAutospacing="1"/>
            </w:pPr>
            <w:r>
              <w:rPr>
                <w:b/>
                <w:color w:val="000000"/>
              </w:rPr>
              <w:t>Total</w:t>
            </w:r>
          </w:p>
        </w:tc>
        <w:tc>
          <w:tcPr>
            <w:tcW w:w="1859" w:type="dxa"/>
            <w:vAlign w:val="bottom"/>
          </w:tcPr>
          <w:p w14:paraId="56062993" w14:textId="77777777" w:rsidR="00BB5584" w:rsidRDefault="00506586">
            <w:pPr>
              <w:spacing w:beforeAutospacing="1" w:afterAutospacing="1"/>
              <w:jc w:val="right"/>
            </w:pPr>
            <w:r>
              <w:rPr>
                <w:b/>
                <w:color w:val="000000"/>
              </w:rPr>
              <w:t>5</w:t>
            </w:r>
          </w:p>
        </w:tc>
        <w:tc>
          <w:tcPr>
            <w:tcW w:w="1890" w:type="dxa"/>
            <w:vAlign w:val="bottom"/>
          </w:tcPr>
          <w:p w14:paraId="4575D693" w14:textId="77777777" w:rsidR="00BB5584" w:rsidRDefault="00506586">
            <w:pPr>
              <w:spacing w:beforeAutospacing="1" w:afterAutospacing="1"/>
              <w:jc w:val="right"/>
            </w:pPr>
            <w:r>
              <w:rPr>
                <w:b/>
                <w:color w:val="000000"/>
              </w:rPr>
              <w:t>0</w:t>
            </w:r>
          </w:p>
        </w:tc>
      </w:tr>
    </w:tbl>
    <w:p w14:paraId="58E125B8" w14:textId="77777777" w:rsidR="00BB5584" w:rsidRDefault="005065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14:paraId="5070D703" w14:textId="77777777" w:rsidR="00BB5584" w:rsidRDefault="00BB5584">
      <w:pPr>
        <w:widowControl w:val="0"/>
        <w:spacing w:line="204" w:lineRule="auto"/>
        <w:rPr>
          <w:b/>
          <w:sz w:val="24"/>
          <w:szCs w:val="24"/>
        </w:rPr>
      </w:pPr>
    </w:p>
    <w:p w14:paraId="13F57FC2" w14:textId="77777777" w:rsidR="00BB5584" w:rsidRDefault="00BB5584">
      <w:pPr>
        <w:widowControl w:val="0"/>
        <w:spacing w:line="204" w:lineRule="auto"/>
        <w:rPr>
          <w:b/>
          <w:sz w:val="24"/>
          <w:szCs w:val="24"/>
        </w:rPr>
      </w:pPr>
    </w:p>
    <w:p w14:paraId="4C32FE02" w14:textId="77777777" w:rsidR="00BB5584" w:rsidRDefault="00506586">
      <w:pPr>
        <w:widowControl w:val="0"/>
        <w:spacing w:line="204" w:lineRule="auto"/>
        <w:rPr>
          <w:b/>
          <w:sz w:val="24"/>
          <w:szCs w:val="24"/>
        </w:rPr>
      </w:pPr>
      <w:r>
        <w:rPr>
          <w:b/>
          <w:sz w:val="24"/>
          <w:szCs w:val="24"/>
        </w:rPr>
        <w:t>Narrative Information</w:t>
      </w:r>
    </w:p>
    <w:p w14:paraId="5B4765F8" w14:textId="77777777" w:rsidR="00BB5584" w:rsidRDefault="00506586">
      <w:pPr>
        <w:spacing w:beforeAutospacing="1" w:afterAutospacing="1"/>
        <w:rPr>
          <w:rFonts w:cs="Arial"/>
        </w:rPr>
      </w:pPr>
      <w:r>
        <w:rPr>
          <w:rFonts w:cs="Arial"/>
        </w:rPr>
        <w:t>The City of Tyler continues to provide funding for the benefit of low and moderate income persons and households. The City strives to provide access to affordable housing and decent, safe, and sanitary housing for its citizens. When new programs are develo</w:t>
      </w:r>
      <w:r>
        <w:rPr>
          <w:rFonts w:cs="Arial"/>
        </w:rPr>
        <w:t>ped, the City works to inform the community as a whole and attempts to emphasize the marketing to the low and moderate income households. During Program Year 2020, the City of Tyler’s Critical Home Repair Program assisted two (2) extremely low income house</w:t>
      </w:r>
      <w:r>
        <w:rPr>
          <w:rFonts w:cs="Arial"/>
        </w:rPr>
        <w:t>holds and three (3) moderate income households.</w:t>
      </w:r>
    </w:p>
    <w:p w14:paraId="5D1FD3BA" w14:textId="77777777" w:rsidR="00BB5584" w:rsidRDefault="00BB5584">
      <w:pPr>
        <w:rPr>
          <w:rFonts w:cs="Arial"/>
        </w:rPr>
      </w:pPr>
    </w:p>
    <w:p w14:paraId="290A7158" w14:textId="77777777" w:rsidR="00BB5584" w:rsidRDefault="00BB5584">
      <w:pPr>
        <w:pStyle w:val="Heading2"/>
        <w:pageBreakBefore/>
        <w:rPr>
          <w:rFonts w:ascii="Calibri" w:hAnsi="Calibri"/>
          <w:i w:val="0"/>
        </w:rPr>
        <w:sectPr w:rsidR="00BB5584">
          <w:pgSz w:w="12240" w:h="15840" w:code="1"/>
          <w:pgMar w:top="1440" w:right="1440" w:bottom="1440" w:left="1440" w:header="720" w:footer="720" w:gutter="0"/>
          <w:cols w:space="720"/>
          <w:docGrid w:linePitch="360"/>
        </w:sectPr>
      </w:pPr>
    </w:p>
    <w:bookmarkEnd w:id="1"/>
    <w:p w14:paraId="10AB1098" w14:textId="77777777" w:rsidR="00BB5584" w:rsidRDefault="00506586">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14:paraId="0DA83F9C" w14:textId="77777777" w:rsidR="00BB5584" w:rsidRDefault="00506586">
      <w:pPr>
        <w:keepNext/>
        <w:widowControl w:val="0"/>
        <w:rPr>
          <w:b/>
          <w:sz w:val="24"/>
          <w:szCs w:val="24"/>
        </w:rPr>
      </w:pPr>
      <w:r>
        <w:rPr>
          <w:b/>
          <w:sz w:val="24"/>
          <w:szCs w:val="24"/>
        </w:rPr>
        <w:t xml:space="preserve">Evaluate the jurisdiction’s progress in meeting its specific objectives for reducing and ending homelessness </w:t>
      </w:r>
      <w:r>
        <w:rPr>
          <w:b/>
          <w:sz w:val="24"/>
          <w:szCs w:val="24"/>
        </w:rPr>
        <w:t>through:</w:t>
      </w:r>
    </w:p>
    <w:p w14:paraId="0A9CF37B" w14:textId="77777777" w:rsidR="00BB5584" w:rsidRDefault="00506586">
      <w:pPr>
        <w:widowControl w:val="0"/>
        <w:rPr>
          <w:b/>
          <w:sz w:val="24"/>
          <w:szCs w:val="24"/>
        </w:rPr>
      </w:pPr>
      <w:r>
        <w:rPr>
          <w:b/>
          <w:sz w:val="24"/>
          <w:szCs w:val="24"/>
        </w:rPr>
        <w:t>Reaching out to homeless persons (especially unsheltered persons) and assessing their individual needs</w:t>
      </w:r>
    </w:p>
    <w:p w14:paraId="423564D0" w14:textId="77777777" w:rsidR="00BB5584" w:rsidRDefault="00506586">
      <w:pPr>
        <w:widowControl w:val="0"/>
        <w:spacing w:beforeAutospacing="1" w:afterAutospacing="1"/>
        <w:rPr>
          <w:rFonts w:cs="Arial"/>
        </w:rPr>
      </w:pPr>
      <w:r>
        <w:rPr>
          <w:rFonts w:cs="Arial"/>
        </w:rPr>
        <w:t>The City’s 2020 - 2024 Consolidated Plan Non-Housing Objective 4 included objectives and specific strategies related to meeting the needs of the</w:t>
      </w:r>
      <w:r>
        <w:rPr>
          <w:rFonts w:cs="Arial"/>
        </w:rPr>
        <w:t xml:space="preserve"> homeless and populations with special needs, including efforts related to ending chronic homelessness. A major component of the City’s strategy includes the continued participation in the Texas Balance of State CoC and support of the various agencies and </w:t>
      </w:r>
      <w:r>
        <w:rPr>
          <w:rFonts w:cs="Arial"/>
        </w:rPr>
        <w:t>organizations that provide supportive services and emergency, transitional, and permanent housing.</w:t>
      </w:r>
      <w:r>
        <w:rPr>
          <w:rFonts w:cs="Arial"/>
        </w:rPr>
        <w:br/>
        <w:t>The City has continued with these efforts as described in the Consolidated Plan.</w:t>
      </w:r>
    </w:p>
    <w:p w14:paraId="15696312" w14:textId="77777777" w:rsidR="00BB5584" w:rsidRDefault="00506586">
      <w:pPr>
        <w:widowControl w:val="0"/>
        <w:rPr>
          <w:b/>
          <w:sz w:val="24"/>
          <w:szCs w:val="24"/>
        </w:rPr>
      </w:pPr>
      <w:r>
        <w:rPr>
          <w:b/>
          <w:sz w:val="24"/>
          <w:szCs w:val="24"/>
        </w:rPr>
        <w:t xml:space="preserve">Addressing the emergency shelter and transitional housing needs of homeless </w:t>
      </w:r>
      <w:r>
        <w:rPr>
          <w:b/>
          <w:sz w:val="24"/>
          <w:szCs w:val="24"/>
        </w:rPr>
        <w:t>persons</w:t>
      </w:r>
    </w:p>
    <w:p w14:paraId="070A6569" w14:textId="77777777" w:rsidR="00BB5584" w:rsidRDefault="00506586">
      <w:pPr>
        <w:widowControl w:val="0"/>
        <w:spacing w:beforeAutospacing="1" w:afterAutospacing="1"/>
        <w:rPr>
          <w:rFonts w:cs="Arial"/>
        </w:rPr>
      </w:pPr>
      <w:r>
        <w:rPr>
          <w:rFonts w:cs="Arial"/>
        </w:rPr>
        <w:t xml:space="preserve">The City participated with numerous local non-profit organizations in the Texas Balance of States Continuum of Care and has continued with efforts to increase coordinated services for the homeless and reduce duplication of efforts. A special focus </w:t>
      </w:r>
      <w:r>
        <w:rPr>
          <w:rFonts w:cs="Arial"/>
        </w:rPr>
        <w:t>of the organization has been on efforts to prevent homelessness by active and appropriate referral services and community education efforts.</w:t>
      </w:r>
    </w:p>
    <w:p w14:paraId="34E125A4" w14:textId="77777777" w:rsidR="00BB5584" w:rsidRDefault="00506586">
      <w:pPr>
        <w:widowControl w:val="0"/>
        <w:spacing w:beforeAutospacing="1" w:afterAutospacing="1"/>
        <w:rPr>
          <w:rFonts w:cs="Arial"/>
        </w:rPr>
      </w:pPr>
      <w:r>
        <w:rPr>
          <w:rFonts w:cs="Arial"/>
        </w:rPr>
        <w:br/>
        <w:t>Other efforts to prevent homelessness includes the continued funding of public services that provide assistance an</w:t>
      </w:r>
      <w:r>
        <w:rPr>
          <w:rFonts w:cs="Arial"/>
        </w:rPr>
        <w:t>d educational training opportunities to assist low-income households improve their abilities for self-sufficiency; and providing on-going technical assistance to local service providers to increase their organizational capacity and ability to provide effec</w:t>
      </w:r>
      <w:r>
        <w:rPr>
          <w:rFonts w:cs="Arial"/>
        </w:rPr>
        <w:t>tive services.</w:t>
      </w:r>
    </w:p>
    <w:p w14:paraId="3C6DDCC5" w14:textId="77777777" w:rsidR="00BB5584" w:rsidRDefault="00506586">
      <w:pPr>
        <w:widowControl w:val="0"/>
        <w:spacing w:beforeAutospacing="1" w:afterAutospacing="1"/>
        <w:rPr>
          <w:rFonts w:cs="Arial"/>
        </w:rPr>
      </w:pPr>
      <w:r>
        <w:rPr>
          <w:rFonts w:cs="Arial"/>
        </w:rPr>
        <w:br/>
        <w:t>The City’s Section 8 Housing Choice Voucher program administers 1008 vouchers on behalf of low- and moderate- income families. This include 34 VASH vouchers to veterans.</w:t>
      </w:r>
    </w:p>
    <w:p w14:paraId="5DBB4363" w14:textId="77777777" w:rsidR="00BB5584" w:rsidRDefault="00506586">
      <w:pPr>
        <w:widowControl w:val="0"/>
        <w:rPr>
          <w:b/>
          <w:sz w:val="24"/>
          <w:szCs w:val="24"/>
        </w:rPr>
      </w:pPr>
      <w:r>
        <w:rPr>
          <w:b/>
          <w:sz w:val="24"/>
          <w:szCs w:val="24"/>
        </w:rPr>
        <w:t>Helping low-income individuals and families avoid becoming homeless, e</w:t>
      </w:r>
      <w:r>
        <w:rPr>
          <w:b/>
          <w:sz w:val="24"/>
          <w:szCs w:val="24"/>
        </w:rPr>
        <w:t>specially extremely low-income individuals and families and those who are:  likely to become homeless after being discharged from publicly funded institutions and systems of care (such as health care facilities, mental health facilities, foster care and ot</w:t>
      </w:r>
      <w:r>
        <w:rPr>
          <w:b/>
          <w:sz w:val="24"/>
          <w:szCs w:val="24"/>
        </w:rPr>
        <w:t>her youth facilities, and corrections programs and institutions);  and,  receiving assistance from public or private agencies that address housing, health, social services, employment, education, or youth needs</w:t>
      </w:r>
    </w:p>
    <w:p w14:paraId="7415144A" w14:textId="77777777" w:rsidR="00BB5584" w:rsidRDefault="00506586">
      <w:pPr>
        <w:widowControl w:val="0"/>
        <w:spacing w:beforeAutospacing="1" w:afterAutospacing="1"/>
        <w:rPr>
          <w:rFonts w:cs="Arial"/>
        </w:rPr>
      </w:pPr>
      <w:r>
        <w:rPr>
          <w:rFonts w:cs="Arial"/>
        </w:rPr>
        <w:t>The City has implemented a plan to help end h</w:t>
      </w:r>
      <w:r>
        <w:rPr>
          <w:rFonts w:cs="Arial"/>
        </w:rPr>
        <w:t>omelessness at the local level using both CDBG and HUD technical assistance funds. We utilized this process to assist all homeless programs in the City of Tyler. Homebuyer education and counseling is provided to voucher holders, applicants of the First-Tim</w:t>
      </w:r>
      <w:r>
        <w:rPr>
          <w:rFonts w:cs="Arial"/>
        </w:rPr>
        <w:t xml:space="preserve">e </w:t>
      </w:r>
      <w:r>
        <w:rPr>
          <w:rFonts w:cs="Arial"/>
        </w:rPr>
        <w:lastRenderedPageBreak/>
        <w:t>Homebuyer program, Family Self-Sufficiency program and other low-income families in order to facilitate homeownership opportunities for low-income and minority households.</w:t>
      </w:r>
      <w:r>
        <w:rPr>
          <w:rFonts w:cs="Arial"/>
        </w:rPr>
        <w:br/>
        <w:t xml:space="preserve">The City continues to provide and expand the Housing Choice Voucher Homeownership </w:t>
      </w:r>
      <w:r>
        <w:rPr>
          <w:rFonts w:cs="Arial"/>
        </w:rPr>
        <w:t xml:space="preserve">Program and apply each year for Family Self-Sufficiency Program funding, which is designed to: Provide supportive and educational services leading to a decreased dependency on subsidy programs; Continually provide economic development incentives utilizing </w:t>
      </w:r>
      <w:r>
        <w:rPr>
          <w:rFonts w:cs="Arial"/>
        </w:rPr>
        <w:t xml:space="preserve">local funds to encourage the retention and creation of employment opportunities available to low-income residents; Continue to include and enforce requirements of Section 3 in applicable contracts utilizing federal funds; Encourage and initiate efforts to </w:t>
      </w:r>
      <w:r>
        <w:rPr>
          <w:rFonts w:cs="Arial"/>
        </w:rPr>
        <w:t>promote collaboration and reduce duplication of effort amongst the region’s entities and public service providers. The City also actively participates with other local initiative designed to provide supportive services and environments to assist homeless a</w:t>
      </w:r>
      <w:r>
        <w:rPr>
          <w:rFonts w:cs="Arial"/>
        </w:rPr>
        <w:t>nd special need populations.</w:t>
      </w:r>
      <w:r>
        <w:rPr>
          <w:rFonts w:cs="Arial"/>
        </w:rPr>
        <w:br/>
        <w:t xml:space="preserve"> </w:t>
      </w:r>
      <w:r>
        <w:rPr>
          <w:rFonts w:cs="Arial"/>
        </w:rPr>
        <w:br/>
        <w:t xml:space="preserve"> Information about the City's programs and eligibility are available to persons being discharged from the jail or hospitals through the City's website, the local 211 Help Line, and through information provided by public servi</w:t>
      </w:r>
      <w:r>
        <w:rPr>
          <w:rFonts w:cs="Arial"/>
        </w:rPr>
        <w:t>ce agencies supporting low income individuals and families likely to become homeless (i.e. PATH, the East Texas Human Needs Network and the Andrews Center).</w:t>
      </w:r>
    </w:p>
    <w:p w14:paraId="67B8473A" w14:textId="77777777" w:rsidR="00BB5584" w:rsidRDefault="00506586">
      <w:pPr>
        <w:widowControl w:val="0"/>
        <w:rPr>
          <w:b/>
          <w:sz w:val="24"/>
          <w:szCs w:val="24"/>
        </w:rPr>
      </w:pPr>
      <w:r>
        <w:rPr>
          <w:b/>
          <w:sz w:val="24"/>
          <w:szCs w:val="24"/>
        </w:rPr>
        <w:t>Helping homeless persons (especially chronically homeless individuals and families, families with c</w:t>
      </w:r>
      <w:r>
        <w:rPr>
          <w:b/>
          <w:sz w:val="24"/>
          <w:szCs w:val="24"/>
        </w:rPr>
        <w:t xml:space="preserve">hildren, veterans and their families, and unaccompanied youth) make the transition to permanent housing and independent living, including shortening the period of time that individuals and families experience homelessness, facilitating access for homeless </w:t>
      </w:r>
      <w:r>
        <w:rPr>
          <w:b/>
          <w:sz w:val="24"/>
          <w:szCs w:val="24"/>
        </w:rPr>
        <w:t>individuals and families to affordable housing units, and preventing individuals and families who were recently homeless from becoming homeless again</w:t>
      </w:r>
    </w:p>
    <w:p w14:paraId="23916F16" w14:textId="77777777" w:rsidR="00BB5584" w:rsidRDefault="00506586">
      <w:pPr>
        <w:widowControl w:val="0"/>
        <w:spacing w:beforeAutospacing="1" w:afterAutospacing="1"/>
        <w:rPr>
          <w:rFonts w:cs="Arial"/>
        </w:rPr>
      </w:pPr>
      <w:r>
        <w:rPr>
          <w:rFonts w:cs="Arial"/>
        </w:rPr>
        <w:t>The City of Tyler actively participates with local initiatives designed to provide supportive services and</w:t>
      </w:r>
      <w:r>
        <w:rPr>
          <w:rFonts w:cs="Arial"/>
        </w:rPr>
        <w:t xml:space="preserve"> environments to assist homeless and special need populations. Consultation with Texas Balance of States Continuum of Care takes place with PATH, Salvation Army, HiWay 80 Rescue Mission, East Texas Cares Resource Center and Mayor's Veteran Roundtable to en</w:t>
      </w:r>
      <w:r>
        <w:rPr>
          <w:rFonts w:cs="Arial"/>
        </w:rPr>
        <w:t xml:space="preserve">d homeless for the City's jurisdiction. These organizations help provide transitional and permanent supportive housing and assists with linking the clients to services to include independent living skills. The program requires that all participants have a </w:t>
      </w:r>
      <w:r>
        <w:rPr>
          <w:rFonts w:cs="Arial"/>
        </w:rPr>
        <w:t>self-sufficiency plan in efforts to assist them in becoming self-sufficient and to remain in permanent housing to avoid becoming homeless again. The City has non-HUD funds that it uses to provide needed public services from non-profit agencies to the commu</w:t>
      </w:r>
      <w:r>
        <w:rPr>
          <w:rFonts w:cs="Arial"/>
        </w:rPr>
        <w:t>nity that would include assistance to the homeless and chronically homeless.</w:t>
      </w:r>
    </w:p>
    <w:p w14:paraId="1D5F71DE" w14:textId="77777777" w:rsidR="00BB5584" w:rsidRDefault="00BB5584">
      <w:pPr>
        <w:widowControl w:val="0"/>
        <w:rPr>
          <w:rFonts w:cs="Arial"/>
          <w:szCs w:val="26"/>
        </w:rPr>
      </w:pPr>
    </w:p>
    <w:p w14:paraId="71A00113" w14:textId="77777777" w:rsidR="00BB5584" w:rsidRDefault="00506586">
      <w:pPr>
        <w:pStyle w:val="Heading2"/>
        <w:pageBreakBefore/>
        <w:widowControl w:val="0"/>
        <w:rPr>
          <w:rFonts w:ascii="Calibri" w:hAnsi="Calibri"/>
          <w:i w:val="0"/>
        </w:rPr>
      </w:pPr>
      <w:r>
        <w:rPr>
          <w:rFonts w:ascii="Calibri" w:hAnsi="Calibri"/>
          <w:i w:val="0"/>
        </w:rPr>
        <w:lastRenderedPageBreak/>
        <w:t>CR-30 - Public Housing 91.220(h); 91.320(j)</w:t>
      </w:r>
    </w:p>
    <w:p w14:paraId="22563548" w14:textId="77777777" w:rsidR="00BB5584" w:rsidRDefault="00506586">
      <w:pPr>
        <w:keepNext/>
        <w:widowControl w:val="0"/>
        <w:rPr>
          <w:b/>
          <w:sz w:val="24"/>
          <w:szCs w:val="24"/>
        </w:rPr>
      </w:pPr>
      <w:r>
        <w:rPr>
          <w:b/>
          <w:sz w:val="24"/>
          <w:szCs w:val="24"/>
        </w:rPr>
        <w:t>Actions taken to address the needs of public housing</w:t>
      </w:r>
    </w:p>
    <w:p w14:paraId="6046DCE7" w14:textId="77777777" w:rsidR="00BB5584" w:rsidRDefault="00506586">
      <w:pPr>
        <w:keepNext/>
        <w:widowControl w:val="0"/>
        <w:spacing w:beforeAutospacing="1" w:afterAutospacing="1"/>
        <w:rPr>
          <w:rFonts w:cs="Arial"/>
        </w:rPr>
      </w:pPr>
      <w:r>
        <w:rPr>
          <w:rFonts w:cs="Arial"/>
        </w:rPr>
        <w:t>The City of Tyler does not have a public housing authority or public housing unit</w:t>
      </w:r>
      <w:r>
        <w:rPr>
          <w:rFonts w:cs="Arial"/>
        </w:rPr>
        <w:t>s.</w:t>
      </w:r>
    </w:p>
    <w:p w14:paraId="19956A47" w14:textId="77777777" w:rsidR="00BB5584" w:rsidRDefault="00506586">
      <w:pPr>
        <w:keepNext/>
        <w:widowControl w:val="0"/>
        <w:spacing w:beforeAutospacing="1" w:afterAutospacing="1"/>
        <w:rPr>
          <w:rFonts w:cs="Arial"/>
        </w:rPr>
      </w:pPr>
      <w:r>
        <w:rPr>
          <w:rFonts w:cs="Arial"/>
        </w:rPr>
        <w:t>The City of Tyler participates in the Housing Choice Voucher (HCV) program and currently manages 1008 allocated vouchers. </w:t>
      </w:r>
    </w:p>
    <w:p w14:paraId="141AEFE6" w14:textId="77777777" w:rsidR="00BB5584" w:rsidRDefault="00506586">
      <w:pPr>
        <w:widowControl w:val="0"/>
        <w:rPr>
          <w:b/>
          <w:sz w:val="24"/>
          <w:szCs w:val="24"/>
        </w:rPr>
      </w:pPr>
      <w:r>
        <w:rPr>
          <w:b/>
          <w:sz w:val="24"/>
          <w:szCs w:val="24"/>
        </w:rPr>
        <w:t>Actions taken to encourage public housing residents to become more involved in management and participate in homeownership</w:t>
      </w:r>
    </w:p>
    <w:p w14:paraId="687216AE" w14:textId="77777777" w:rsidR="00BB5584" w:rsidRDefault="00506586">
      <w:pPr>
        <w:widowControl w:val="0"/>
        <w:spacing w:beforeAutospacing="1" w:afterAutospacing="1"/>
        <w:rPr>
          <w:rFonts w:cs="Arial"/>
        </w:rPr>
      </w:pPr>
      <w:r>
        <w:rPr>
          <w:rFonts w:cs="Arial"/>
        </w:rPr>
        <w:t>The Cit</w:t>
      </w:r>
      <w:r>
        <w:rPr>
          <w:rFonts w:cs="Arial"/>
        </w:rPr>
        <w:t>y of Tyler does not have a public housing authority or public housing units.</w:t>
      </w:r>
    </w:p>
    <w:p w14:paraId="7BDD0007" w14:textId="77777777" w:rsidR="00BB5584" w:rsidRDefault="00506586">
      <w:pPr>
        <w:widowControl w:val="0"/>
        <w:spacing w:beforeAutospacing="1" w:afterAutospacing="1"/>
        <w:rPr>
          <w:rFonts w:cs="Arial"/>
        </w:rPr>
      </w:pPr>
      <w:r>
        <w:rPr>
          <w:rFonts w:cs="Arial"/>
        </w:rPr>
        <w:t>The City of Tyler's Community Development staff and HCV staff are housed in the same office building and work closely together. The two staffs meet on a regular basis to strategiz</w:t>
      </w:r>
      <w:r>
        <w:rPr>
          <w:rFonts w:cs="Arial"/>
        </w:rPr>
        <w:t>e how to leverage the two programs. The City's Community Development staff keeps the HCV staff informed of program changes and upcoming projects that would encourage homeownership. For example, in Program Year 2020, the City plans to construct and sell, wi</w:t>
      </w:r>
      <w:r>
        <w:rPr>
          <w:rFonts w:cs="Arial"/>
        </w:rPr>
        <w:t>th HOME funds, approximately 11 houses. Community Development staff has informed HCV staff of this upcoming project so that the HCV staff can begin working with their clients to identify clients who may be ready to purchase their own home when the houses a</w:t>
      </w:r>
      <w:r>
        <w:rPr>
          <w:rFonts w:cs="Arial"/>
        </w:rPr>
        <w:t>re constructed. </w:t>
      </w:r>
    </w:p>
    <w:p w14:paraId="6856FF2E" w14:textId="77777777" w:rsidR="00BB5584" w:rsidRDefault="00506586">
      <w:pPr>
        <w:widowControl w:val="0"/>
        <w:rPr>
          <w:b/>
          <w:sz w:val="24"/>
          <w:szCs w:val="24"/>
        </w:rPr>
      </w:pPr>
      <w:r>
        <w:rPr>
          <w:b/>
          <w:sz w:val="24"/>
          <w:szCs w:val="24"/>
        </w:rPr>
        <w:t>Actions taken to provide assistance to troubled PHAs</w:t>
      </w:r>
    </w:p>
    <w:p w14:paraId="6C88849D" w14:textId="77777777" w:rsidR="00BB5584" w:rsidRDefault="00506586">
      <w:pPr>
        <w:widowControl w:val="0"/>
        <w:spacing w:beforeAutospacing="1" w:afterAutospacing="1"/>
        <w:rPr>
          <w:rFonts w:cs="Arial"/>
        </w:rPr>
      </w:pPr>
      <w:r>
        <w:rPr>
          <w:rFonts w:cs="Arial"/>
        </w:rPr>
        <w:t>The City of Tyler does not have a public housing authority or public housing units.</w:t>
      </w:r>
    </w:p>
    <w:p w14:paraId="4C54735F" w14:textId="77777777" w:rsidR="00BB5584" w:rsidRDefault="00506586">
      <w:pPr>
        <w:pStyle w:val="Heading2"/>
        <w:pageBreakBefore/>
        <w:widowControl w:val="0"/>
        <w:rPr>
          <w:rFonts w:ascii="Calibri" w:hAnsi="Calibri"/>
          <w:i w:val="0"/>
        </w:rPr>
      </w:pPr>
      <w:r>
        <w:rPr>
          <w:rFonts w:ascii="Calibri" w:hAnsi="Calibri"/>
          <w:i w:val="0"/>
        </w:rPr>
        <w:lastRenderedPageBreak/>
        <w:t>CR-35 - Other Actions 91.220(j)-(k); 91.320(i)-(j)</w:t>
      </w:r>
    </w:p>
    <w:p w14:paraId="5EDAD28F" w14:textId="77777777" w:rsidR="00BB5584" w:rsidRDefault="00506586">
      <w:pPr>
        <w:widowControl w:val="0"/>
        <w:rPr>
          <w:b/>
          <w:sz w:val="24"/>
          <w:szCs w:val="24"/>
        </w:rPr>
      </w:pPr>
      <w:r>
        <w:rPr>
          <w:b/>
          <w:sz w:val="24"/>
          <w:szCs w:val="24"/>
        </w:rPr>
        <w:t xml:space="preserve">Actions taken to remove or ameliorate the negative </w:t>
      </w:r>
      <w:r>
        <w:rPr>
          <w:b/>
          <w:sz w:val="24"/>
          <w:szCs w:val="24"/>
        </w:rPr>
        <w:t>effects of public policies that serve as barriers to affordable housing such as land use controls, tax policies affecting land, zoning ordinances, building codes, fees and charges, growth limitations, and policies affecting the return on residential invest</w:t>
      </w:r>
      <w:r>
        <w:rPr>
          <w:b/>
          <w:sz w:val="24"/>
          <w:szCs w:val="24"/>
        </w:rPr>
        <w:t>ment. 91.220 (j); 91.320 (i)</w:t>
      </w:r>
    </w:p>
    <w:p w14:paraId="0BCCA9FE" w14:textId="77777777" w:rsidR="00BB5584" w:rsidRDefault="00506586">
      <w:pPr>
        <w:widowControl w:val="0"/>
        <w:spacing w:beforeAutospacing="1" w:afterAutospacing="1"/>
        <w:rPr>
          <w:rFonts w:cs="Arial"/>
        </w:rPr>
      </w:pPr>
      <w:r>
        <w:rPr>
          <w:rFonts w:cs="Arial"/>
        </w:rPr>
        <w:t>In the City of Tyler, the primary barriers to affordable housing are not created through local policies. The City has made a concerted effort to streamline the development process of affordable housing. Additionally, the City a</w:t>
      </w:r>
      <w:r>
        <w:rPr>
          <w:rFonts w:cs="Arial"/>
        </w:rPr>
        <w:t>dministers a Housing Infill Program (HIP) to help stimulate the development of affordable housing. Under HIP, developers can purchase lots from the City at a drastically reduced rate to develop affordable housing. </w:t>
      </w:r>
    </w:p>
    <w:p w14:paraId="45A23A48" w14:textId="77777777" w:rsidR="00BB5584" w:rsidRDefault="00506586">
      <w:pPr>
        <w:widowControl w:val="0"/>
        <w:rPr>
          <w:b/>
          <w:sz w:val="24"/>
          <w:szCs w:val="24"/>
        </w:rPr>
      </w:pPr>
      <w:r>
        <w:rPr>
          <w:b/>
          <w:sz w:val="24"/>
          <w:szCs w:val="24"/>
        </w:rPr>
        <w:t xml:space="preserve">Actions taken to address </w:t>
      </w:r>
      <w:r>
        <w:rPr>
          <w:b/>
          <w:sz w:val="24"/>
          <w:szCs w:val="24"/>
        </w:rPr>
        <w:t>obstacles to meeting underserved needs.  91.220(k); 91.320(j)</w:t>
      </w:r>
    </w:p>
    <w:p w14:paraId="7BA2C128" w14:textId="77777777" w:rsidR="00BB5584" w:rsidRDefault="00506586">
      <w:pPr>
        <w:widowControl w:val="0"/>
        <w:spacing w:beforeAutospacing="1" w:afterAutospacing="1"/>
        <w:rPr>
          <w:rFonts w:cs="Arial"/>
        </w:rPr>
      </w:pPr>
      <w:r>
        <w:rPr>
          <w:rFonts w:cs="Arial"/>
        </w:rPr>
        <w:t xml:space="preserve">To meet underserved needs, those needs must first be identified. To identify the underserved needs of its citizens, the City obtains and reviews appropriate data, including census, demographic, </w:t>
      </w:r>
      <w:r>
        <w:rPr>
          <w:rFonts w:cs="Arial"/>
        </w:rPr>
        <w:t>and housing information. Additionally, the City meets with and maintains relationships with civic leaders.</w:t>
      </w:r>
    </w:p>
    <w:p w14:paraId="2DD9160A" w14:textId="77777777" w:rsidR="00BB5584" w:rsidRDefault="00506586">
      <w:pPr>
        <w:widowControl w:val="0"/>
        <w:spacing w:beforeAutospacing="1" w:afterAutospacing="1"/>
        <w:rPr>
          <w:rFonts w:cs="Arial"/>
        </w:rPr>
      </w:pPr>
      <w:r>
        <w:rPr>
          <w:rFonts w:cs="Arial"/>
        </w:rPr>
        <w:br/>
        <w:t>Additionally, the City hosted public hearings to obtain input from its citizens. Unfortunately, the City received no responses at those hearings. Ac</w:t>
      </w:r>
      <w:r>
        <w:rPr>
          <w:rFonts w:cs="Arial"/>
        </w:rPr>
        <w:t>cordingly, the City plans to better utilize local newspapers and circulars to better reach its citizens. Further, the City plans to better utilize its Communication's Department to assist in informing its citizens about programs, projects, and assisting to</w:t>
      </w:r>
      <w:r>
        <w:rPr>
          <w:rFonts w:cs="Arial"/>
        </w:rPr>
        <w:t xml:space="preserve"> identify needs.</w:t>
      </w:r>
    </w:p>
    <w:p w14:paraId="7C2F56DE" w14:textId="77777777" w:rsidR="00BB5584" w:rsidRDefault="00506586">
      <w:pPr>
        <w:widowControl w:val="0"/>
        <w:rPr>
          <w:b/>
          <w:sz w:val="24"/>
          <w:szCs w:val="24"/>
        </w:rPr>
      </w:pPr>
      <w:r>
        <w:rPr>
          <w:b/>
          <w:sz w:val="24"/>
          <w:szCs w:val="24"/>
        </w:rPr>
        <w:t>Actions taken to reduce lead-based paint hazards. 91.220(k); 91.320(j)</w:t>
      </w:r>
    </w:p>
    <w:p w14:paraId="3F248FAA" w14:textId="77777777" w:rsidR="00BB5584" w:rsidRDefault="00506586">
      <w:pPr>
        <w:widowControl w:val="0"/>
        <w:spacing w:beforeAutospacing="1" w:afterAutospacing="1"/>
        <w:rPr>
          <w:rFonts w:cs="Arial"/>
        </w:rPr>
      </w:pPr>
      <w:r>
        <w:rPr>
          <w:rFonts w:cs="Arial"/>
        </w:rPr>
        <w:t>A large portion of the City's housing stock was constructed prior to 1978. For programs and projects subject to the lead based paint regulations, the City follows the r</w:t>
      </w:r>
      <w:r>
        <w:rPr>
          <w:rFonts w:cs="Arial"/>
        </w:rPr>
        <w:t>egulations and requires notification, identification, and treatment (if necessary).</w:t>
      </w:r>
    </w:p>
    <w:p w14:paraId="78A840E6" w14:textId="77777777" w:rsidR="00BB5584" w:rsidRDefault="00506586">
      <w:pPr>
        <w:widowControl w:val="0"/>
        <w:rPr>
          <w:b/>
          <w:sz w:val="24"/>
          <w:szCs w:val="24"/>
        </w:rPr>
      </w:pPr>
      <w:r>
        <w:rPr>
          <w:b/>
          <w:sz w:val="24"/>
          <w:szCs w:val="24"/>
        </w:rPr>
        <w:t>Actions taken to reduce the number of poverty-level families. 91.220(k); 91.320(j)</w:t>
      </w:r>
    </w:p>
    <w:p w14:paraId="69CEB715" w14:textId="77777777" w:rsidR="00BB5584" w:rsidRDefault="00506586">
      <w:pPr>
        <w:widowControl w:val="0"/>
        <w:spacing w:beforeAutospacing="1" w:afterAutospacing="1"/>
        <w:rPr>
          <w:rFonts w:cs="Arial"/>
        </w:rPr>
      </w:pPr>
      <w:r>
        <w:rPr>
          <w:rFonts w:cs="Arial"/>
        </w:rPr>
        <w:t>During Program Year 2020, the majority of the City's CDBG funds were spent on public faci</w:t>
      </w:r>
      <w:r>
        <w:rPr>
          <w:rFonts w:cs="Arial"/>
        </w:rPr>
        <w:t>lity projects. The contractors for the projects were made aware of the Section 3 requirements. Going forward, the City will continue to include and enforce Section 3 in applicable contracts. The City will also provide technical assistance to contractors in</w:t>
      </w:r>
      <w:r>
        <w:rPr>
          <w:rFonts w:cs="Arial"/>
        </w:rPr>
        <w:t xml:space="preserve"> Section 3 requirements.</w:t>
      </w:r>
    </w:p>
    <w:p w14:paraId="3A528076" w14:textId="77777777" w:rsidR="00BB5584" w:rsidRDefault="00506586">
      <w:pPr>
        <w:widowControl w:val="0"/>
        <w:spacing w:beforeAutospacing="1" w:afterAutospacing="1"/>
        <w:rPr>
          <w:rFonts w:cs="Arial"/>
        </w:rPr>
      </w:pPr>
      <w:r>
        <w:rPr>
          <w:rFonts w:cs="Arial"/>
        </w:rPr>
        <w:br/>
        <w:t xml:space="preserve">During Program Year 2020, the City continued to provide the Housing Choice Voucher Program (HCV) and the Family Self Sufficiency Program (FSS). FSS is designed to provide supportive and educational services leading to a decreased </w:t>
      </w:r>
      <w:r>
        <w:rPr>
          <w:rFonts w:cs="Arial"/>
        </w:rPr>
        <w:t xml:space="preserve">dependence on subsidy programs. The City staff responsible for </w:t>
      </w:r>
      <w:r>
        <w:rPr>
          <w:rFonts w:cs="Arial"/>
        </w:rPr>
        <w:lastRenderedPageBreak/>
        <w:t>managing CDBG, HOME, HCV, and FSS regularly meet to strategize how to best leverage the respective programs. When the City is getting ready to construct a home with HOME funds, the City staff r</w:t>
      </w:r>
      <w:r>
        <w:rPr>
          <w:rFonts w:cs="Arial"/>
        </w:rPr>
        <w:t>esponsible for HOME notifies City staff responsible for FSS. This allows the FSS participants who are ready for homeownership the opportunity to purchase a home more seamlessly.</w:t>
      </w:r>
    </w:p>
    <w:p w14:paraId="0A1714EC" w14:textId="77777777" w:rsidR="00BB5584" w:rsidRDefault="00506586">
      <w:pPr>
        <w:widowControl w:val="0"/>
        <w:spacing w:beforeAutospacing="1" w:afterAutospacing="1"/>
        <w:rPr>
          <w:rFonts w:cs="Arial"/>
        </w:rPr>
      </w:pPr>
      <w:r>
        <w:rPr>
          <w:rFonts w:cs="Arial"/>
        </w:rPr>
        <w:br/>
        <w:t>The City also continues to provide economic incentives with local funds to en</w:t>
      </w:r>
      <w:r>
        <w:rPr>
          <w:rFonts w:cs="Arial"/>
        </w:rPr>
        <w:t>courage the retention and creation of employment opportunities.</w:t>
      </w:r>
    </w:p>
    <w:p w14:paraId="328A6459" w14:textId="77777777" w:rsidR="00BB5584" w:rsidRDefault="00506586">
      <w:pPr>
        <w:widowControl w:val="0"/>
        <w:rPr>
          <w:b/>
          <w:sz w:val="24"/>
          <w:szCs w:val="24"/>
        </w:rPr>
      </w:pPr>
      <w:r>
        <w:rPr>
          <w:b/>
          <w:sz w:val="24"/>
          <w:szCs w:val="24"/>
        </w:rPr>
        <w:t>Actions taken to develop institutional structure. 91.220(k); 91.320(j)</w:t>
      </w:r>
    </w:p>
    <w:p w14:paraId="0238702B" w14:textId="77777777" w:rsidR="00BB5584" w:rsidRDefault="00506586">
      <w:pPr>
        <w:widowControl w:val="0"/>
        <w:spacing w:beforeAutospacing="1" w:afterAutospacing="1"/>
        <w:rPr>
          <w:rFonts w:cs="Arial"/>
        </w:rPr>
      </w:pPr>
      <w:r>
        <w:rPr>
          <w:rFonts w:cs="Arial"/>
        </w:rPr>
        <w:t>The City administers the CDBG and HOME grants through its Neighborhood Services Department (NBS). NBS is also responsible</w:t>
      </w:r>
      <w:r>
        <w:rPr>
          <w:rFonts w:cs="Arial"/>
        </w:rPr>
        <w:t xml:space="preserve"> for administering the Housing Choice Voucher and Family Self Sufficiency Programs.</w:t>
      </w:r>
    </w:p>
    <w:p w14:paraId="4A33E030" w14:textId="77777777" w:rsidR="00BB5584" w:rsidRDefault="00506586">
      <w:pPr>
        <w:widowControl w:val="0"/>
        <w:spacing w:beforeAutospacing="1" w:afterAutospacing="1"/>
        <w:rPr>
          <w:rFonts w:cs="Arial"/>
        </w:rPr>
      </w:pPr>
      <w:r>
        <w:rPr>
          <w:rFonts w:cs="Arial"/>
        </w:rPr>
        <w:br/>
        <w:t>The City also considers all requests for assistance and proposals to support other organizations and agencies seeking funds. All requests for assistance and proposals must</w:t>
      </w:r>
      <w:r>
        <w:rPr>
          <w:rFonts w:cs="Arial"/>
        </w:rPr>
        <w:t xml:space="preserve"> comply with CDBG and HOME regulations and be in line with the City’s Consolidated Plan and Annual Action Plan.</w:t>
      </w:r>
    </w:p>
    <w:p w14:paraId="432C5E9E" w14:textId="77777777" w:rsidR="00BB5584" w:rsidRDefault="00506586">
      <w:pPr>
        <w:widowControl w:val="0"/>
        <w:rPr>
          <w:b/>
          <w:sz w:val="24"/>
          <w:szCs w:val="24"/>
        </w:rPr>
      </w:pPr>
      <w:r>
        <w:rPr>
          <w:b/>
          <w:sz w:val="24"/>
          <w:szCs w:val="24"/>
        </w:rPr>
        <w:t>Actions taken to enhance coordination between public and private housing and social service agencies. 91.220(k); 91.320(j)</w:t>
      </w:r>
    </w:p>
    <w:p w14:paraId="1836A154" w14:textId="77777777" w:rsidR="00BB5584" w:rsidRDefault="00506586">
      <w:pPr>
        <w:widowControl w:val="0"/>
        <w:spacing w:beforeAutospacing="1" w:afterAutospacing="1"/>
        <w:rPr>
          <w:rFonts w:cs="Arial"/>
        </w:rPr>
      </w:pPr>
      <w:r>
        <w:rPr>
          <w:rFonts w:cs="Arial"/>
        </w:rPr>
        <w:t>The City has continue</w:t>
      </w:r>
      <w:r>
        <w:rPr>
          <w:rFonts w:cs="Arial"/>
        </w:rPr>
        <w:t>d to pursue funding opportunities that provide assistance to public and private agencies and other public service providers. The City also continued to provide technical assistance, assist in securing other funding sources (federal and non-federal), and ma</w:t>
      </w:r>
      <w:r>
        <w:rPr>
          <w:rFonts w:cs="Arial"/>
        </w:rPr>
        <w:t>de efforts to break down barriers to streamline processes and increase local coordination efforts.</w:t>
      </w:r>
    </w:p>
    <w:p w14:paraId="02D7C366" w14:textId="77777777" w:rsidR="00BB5584" w:rsidRDefault="00506586">
      <w:pPr>
        <w:widowControl w:val="0"/>
        <w:spacing w:beforeAutospacing="1" w:afterAutospacing="1"/>
        <w:rPr>
          <w:rFonts w:cs="Arial"/>
        </w:rPr>
      </w:pPr>
      <w:r>
        <w:rPr>
          <w:rFonts w:cs="Arial"/>
        </w:rPr>
        <w:t>The City administers a coordinated program, the Housing Infill Program (HIP), whereby the City is the lead entity among local taxing entities. HIP is designe</w:t>
      </w:r>
      <w:r>
        <w:rPr>
          <w:rFonts w:cs="Arial"/>
        </w:rPr>
        <w:t>d to identify and utilize tax foreclosed property to help develop affordable housing and meet neighborhood revitalization needs.</w:t>
      </w:r>
    </w:p>
    <w:p w14:paraId="2A6FD628" w14:textId="77777777" w:rsidR="00BB5584" w:rsidRDefault="00506586">
      <w:pPr>
        <w:widowControl w:val="0"/>
        <w:rPr>
          <w:b/>
          <w:sz w:val="24"/>
          <w:szCs w:val="24"/>
        </w:rPr>
      </w:pPr>
      <w:r>
        <w:rPr>
          <w:b/>
          <w:sz w:val="24"/>
          <w:szCs w:val="24"/>
        </w:rPr>
        <w:t>Identify actions taken to overcome the effects of any impediments identified in the jurisdictions analysis of impediments to fa</w:t>
      </w:r>
      <w:r>
        <w:rPr>
          <w:b/>
          <w:sz w:val="24"/>
          <w:szCs w:val="24"/>
        </w:rPr>
        <w:t>ir housing choice.  91.520(a)</w:t>
      </w:r>
    </w:p>
    <w:p w14:paraId="1F77758E" w14:textId="77777777" w:rsidR="00BB5584" w:rsidRDefault="00506586">
      <w:pPr>
        <w:widowControl w:val="0"/>
        <w:spacing w:beforeAutospacing="1" w:afterAutospacing="1"/>
        <w:rPr>
          <w:rFonts w:cs="Arial"/>
        </w:rPr>
      </w:pPr>
      <w:r>
        <w:rPr>
          <w:rFonts w:cs="Arial"/>
        </w:rPr>
        <w:t>To remove the barriers identified through the 2010 Analysis of Impediments to Fair Housing Choice, the City has chosen the following Action Plan: 1) Continue to work with local developers and non-profit organizations to expand</w:t>
      </w:r>
      <w:r>
        <w:rPr>
          <w:rFonts w:cs="Arial"/>
        </w:rPr>
        <w:t xml:space="preserve"> the stock of affordable housing. 2) Increase homebuyer outreach and education efforts in order to increase the number of minorities who apply for mortgage loans. 3) Encourage lending institutions to insure that banking services are extended to all low-inc</w:t>
      </w:r>
      <w:r>
        <w:rPr>
          <w:rFonts w:cs="Arial"/>
        </w:rPr>
        <w:t xml:space="preserve">ome census tracts and to provide greater outreach to the low income and minority communities to lessen the use of predatory lenders. 4) The Chamber of Commerce should continue to work on expanding job opportunities through </w:t>
      </w:r>
      <w:r>
        <w:rPr>
          <w:rFonts w:cs="Arial"/>
        </w:rPr>
        <w:lastRenderedPageBreak/>
        <w:t xml:space="preserve">the recruitment of corporations, </w:t>
      </w:r>
      <w:r>
        <w:rPr>
          <w:rFonts w:cs="Arial"/>
        </w:rPr>
        <w:t>the provision of incentives for local corporations seeking expansion opportunities, assistance with the preparation of small business loan applications, and other activities aimed at reducing unemployment and expanding the base of higher income jobs. 5) Th</w:t>
      </w:r>
      <w:r>
        <w:rPr>
          <w:rFonts w:cs="Arial"/>
        </w:rPr>
        <w:t>e City of Tyler, in conjunction with the Chamber of Commerce, became more active in supporting recruiting industries that match the demographics of the populations most unemployed, as a means of decreasing poverty rates, and increasing incomes and home own</w:t>
      </w:r>
      <w:r>
        <w:rPr>
          <w:rFonts w:cs="Arial"/>
        </w:rPr>
        <w:t xml:space="preserve">ership rates in the city. 6) Increase fair housing education and outreach. 7) Continue to disseminate regularly, fair housing materials with a focus on the protected groups. 8) Continue to hold community events to bolster awareness and assist residents to </w:t>
      </w:r>
      <w:r>
        <w:rPr>
          <w:rFonts w:cs="Arial"/>
        </w:rPr>
        <w:t>obtain affordable housing.</w:t>
      </w:r>
    </w:p>
    <w:p w14:paraId="44E59BD5" w14:textId="77777777" w:rsidR="00BB5584" w:rsidRDefault="00506586">
      <w:pPr>
        <w:widowControl w:val="0"/>
        <w:spacing w:beforeAutospacing="1" w:afterAutospacing="1"/>
        <w:rPr>
          <w:rFonts w:cs="Arial"/>
        </w:rPr>
      </w:pPr>
      <w:r>
        <w:rPr>
          <w:rFonts w:cs="Arial"/>
        </w:rPr>
        <w:br/>
      </w:r>
      <w:r>
        <w:rPr>
          <w:rFonts w:cs="Arial"/>
        </w:rPr>
        <w:t>The City of Tyler will further remove barriers to Fair Housing Choice by improving Fair Housing visibility on the City's website. The website contains links to tenants' rights resources. The housing supervisor serves as the local fair housing representativ</w:t>
      </w:r>
      <w:r>
        <w:rPr>
          <w:rFonts w:cs="Arial"/>
        </w:rPr>
        <w:t>e and customers are provided with the Fair Housing HUD hotline number.</w:t>
      </w:r>
    </w:p>
    <w:p w14:paraId="37980CA7" w14:textId="77777777" w:rsidR="00BB5584" w:rsidRDefault="00506586">
      <w:pPr>
        <w:widowControl w:val="0"/>
        <w:spacing w:beforeAutospacing="1" w:afterAutospacing="1"/>
        <w:rPr>
          <w:rFonts w:cs="Arial"/>
        </w:rPr>
      </w:pPr>
      <w:r>
        <w:rPr>
          <w:rFonts w:cs="Arial"/>
        </w:rPr>
        <w:br/>
        <w:t>***The Analysis of Impediments to Fair Housing provides a list of impediments to fair housing in Tyler. These impediments are identified in the Analysis of Impediments completed in May</w:t>
      </w:r>
      <w:r>
        <w:rPr>
          <w:rFonts w:cs="Arial"/>
        </w:rPr>
        <w:t xml:space="preserve"> 2010. Impediments are identified and discussed as barriers to fair housing. The City has evaluated the recommended remedial actions and continues its implementation of those recommendations that were feasible during FY 2018. In the City of Tyler, the prim</w:t>
      </w:r>
      <w:r>
        <w:rPr>
          <w:rFonts w:cs="Arial"/>
        </w:rPr>
        <w:t>ary barriers to affordable housing are not created through local policies. The City has made a concerted effort to streamline the development process and offer fee waivers for some development fees. An Affordable Housing Task Force was formed to examine ba</w:t>
      </w:r>
      <w:r>
        <w:rPr>
          <w:rFonts w:cs="Arial"/>
        </w:rPr>
        <w:t>rriers to housing development and explore ways to expand the stock of affordable housing which the City is in the process of implementing.</w:t>
      </w:r>
    </w:p>
    <w:p w14:paraId="5F2A2713" w14:textId="77777777" w:rsidR="00BB5584" w:rsidRDefault="00506586">
      <w:pPr>
        <w:pStyle w:val="Heading2"/>
        <w:pageBreakBefore/>
        <w:widowControl w:val="0"/>
        <w:rPr>
          <w:rFonts w:ascii="Calibri" w:hAnsi="Calibri"/>
          <w:i w:val="0"/>
        </w:rPr>
      </w:pPr>
      <w:r>
        <w:rPr>
          <w:rFonts w:ascii="Calibri" w:hAnsi="Calibri"/>
          <w:i w:val="0"/>
        </w:rPr>
        <w:lastRenderedPageBreak/>
        <w:t>CR-40 - Monitoring 91.220 and 91.230</w:t>
      </w:r>
    </w:p>
    <w:p w14:paraId="6F29FDE2" w14:textId="77777777" w:rsidR="00BB5584" w:rsidRDefault="00506586">
      <w:pPr>
        <w:widowControl w:val="0"/>
        <w:rPr>
          <w:b/>
          <w:sz w:val="24"/>
          <w:szCs w:val="24"/>
        </w:rPr>
      </w:pPr>
      <w:r>
        <w:rPr>
          <w:b/>
          <w:sz w:val="24"/>
          <w:szCs w:val="24"/>
        </w:rPr>
        <w:t xml:space="preserve">Describe the standards and procedures used to monitor activities carried out in </w:t>
      </w:r>
      <w:r>
        <w:rPr>
          <w:b/>
          <w:sz w:val="24"/>
          <w:szCs w:val="24"/>
        </w:rPr>
        <w:t>furtherance of the plan and used to ensure long-term compliance with requirements of the programs involved, including minority business outreach and the comprehensive planning requirements</w:t>
      </w:r>
    </w:p>
    <w:p w14:paraId="38FDBC37" w14:textId="77777777" w:rsidR="00BB5584" w:rsidRDefault="00BB5584">
      <w:pPr>
        <w:widowControl w:val="0"/>
        <w:rPr>
          <w:rFonts w:cs="Arial"/>
        </w:rPr>
      </w:pPr>
    </w:p>
    <w:p w14:paraId="792A6038" w14:textId="77777777" w:rsidR="00BB5584" w:rsidRDefault="00BB5584">
      <w:pPr>
        <w:widowControl w:val="0"/>
        <w:rPr>
          <w:rFonts w:cs="Arial"/>
        </w:rPr>
      </w:pPr>
    </w:p>
    <w:p w14:paraId="69BA472B" w14:textId="77777777" w:rsidR="00BB5584" w:rsidRDefault="00506586">
      <w:pPr>
        <w:widowControl w:val="0"/>
        <w:spacing w:beforeAutospacing="1" w:afterAutospacing="1"/>
        <w:rPr>
          <w:rFonts w:cs="Arial"/>
        </w:rPr>
      </w:pPr>
      <w:r>
        <w:rPr>
          <w:rFonts w:cs="Arial"/>
        </w:rPr>
        <w:t>The City has continued to provide effective monitoring of all HOM</w:t>
      </w:r>
      <w:r>
        <w:rPr>
          <w:rFonts w:cs="Arial"/>
        </w:rPr>
        <w:t>E and CDBG funded projects and activities to ensure compliance with city, state, and federal regulations, policies, and contracts. Going forward City staff will continue to ensure that all funded requests are for authorized activities and approved projects</w:t>
      </w:r>
      <w:r>
        <w:rPr>
          <w:rFonts w:cs="Arial"/>
        </w:rPr>
        <w:t>. Activity agreements, expense documentation, and beneficiary reports must be provided for funds to be expended.</w:t>
      </w:r>
    </w:p>
    <w:p w14:paraId="2A491C28" w14:textId="77777777" w:rsidR="00BB5584" w:rsidRDefault="00506586">
      <w:pPr>
        <w:widowControl w:val="0"/>
        <w:spacing w:beforeAutospacing="1" w:afterAutospacing="1"/>
        <w:rPr>
          <w:rFonts w:cs="Arial"/>
        </w:rPr>
      </w:pPr>
      <w:r>
        <w:rPr>
          <w:rFonts w:cs="Arial"/>
        </w:rPr>
        <w:br/>
        <w:t>Additionally, City Staff focused on the following areas:</w:t>
      </w:r>
      <w:r>
        <w:rPr>
          <w:rFonts w:cs="Arial"/>
        </w:rPr>
        <w:br/>
        <w:t>1) Financial – Staff reviewed requests for expenditures to ensure that all funded req</w:t>
      </w:r>
      <w:r>
        <w:rPr>
          <w:rFonts w:cs="Arial"/>
        </w:rPr>
        <w:t>uests are for authorized activities on approved projects. Activity agreements, expense documentation, and beneficiary reports must be provided for funds to be expended. As part of the contract agreement, each sub recipient that receives any CDBG or HOME fu</w:t>
      </w:r>
      <w:r>
        <w:rPr>
          <w:rFonts w:cs="Arial"/>
        </w:rPr>
        <w:t>nding (including CHDOs) must submit either an independent audit or financial reviews to ensure fiscal accountability.</w:t>
      </w:r>
      <w:r>
        <w:rPr>
          <w:rFonts w:cs="Arial"/>
        </w:rPr>
        <w:br/>
        <w:t xml:space="preserve">2) Environmental – All projects and individual activities requiring environmental reviews per HUD regulations were reviewed for clearance </w:t>
      </w:r>
      <w:r>
        <w:rPr>
          <w:rFonts w:cs="Arial"/>
        </w:rPr>
        <w:t xml:space="preserve">prior to funding approval. The review was completed by staff, with the assistance of other departments and outside consultants as needed. Remediation of impacts were implemented as required. Projects or activities unable to meet environmental requirements </w:t>
      </w:r>
      <w:r>
        <w:rPr>
          <w:rFonts w:cs="Arial"/>
        </w:rPr>
        <w:t>were reviewed to determine alternative acceptable solutions, and if no alternatives are identified, the project was not to be funded with federal funds.</w:t>
      </w:r>
      <w:r>
        <w:rPr>
          <w:rFonts w:cs="Arial"/>
        </w:rPr>
        <w:br/>
        <w:t>3)Programmatic – Measurable results or accomplishments are expected on all funded projects, and are eva</w:t>
      </w:r>
      <w:r>
        <w:rPr>
          <w:rFonts w:cs="Arial"/>
        </w:rPr>
        <w:t>luated through the monitoring process. Progress toward project goals was reviewed on a monthly or quarterly basis. The City’s reimbursement of funds for project expenditures is directly correlated with the reporting of accomplishments.</w:t>
      </w:r>
      <w:r>
        <w:rPr>
          <w:rFonts w:cs="Arial"/>
        </w:rPr>
        <w:br/>
        <w:t>4)Sub recipient &amp; CH</w:t>
      </w:r>
      <w:r>
        <w:rPr>
          <w:rFonts w:cs="Arial"/>
        </w:rPr>
        <w:t>DO Monitoring - Agencies receiving City CDBG, HOME, or CHDO funds enter a contract which describes: funding amount, services provided, time frame for providing services, compliance responsibilities, reimbursement procedures, and reporting requirements. Eac</w:t>
      </w:r>
      <w:r>
        <w:rPr>
          <w:rFonts w:cs="Arial"/>
        </w:rPr>
        <w:t>h agency must submit performance reports, containing beneficiary information, such as the number, race, and income level of persons assisted. Each agency is monitored a minimum of once annually for each program year, with all organizations receiving a desk</w:t>
      </w:r>
      <w:r>
        <w:rPr>
          <w:rFonts w:cs="Arial"/>
        </w:rPr>
        <w:t xml:space="preserve"> review as needed and at least one site visit. Agencies receiving funds will be closely monitored to ensure timeliness of expenditures. HOME-The City inspects each rental unit annually and inspects onsite daily for new construction projects.</w:t>
      </w:r>
      <w:r>
        <w:rPr>
          <w:rFonts w:cs="Arial"/>
        </w:rPr>
        <w:br/>
        <w:t>5) Labor Stand</w:t>
      </w:r>
      <w:r>
        <w:rPr>
          <w:rFonts w:cs="Arial"/>
        </w:rPr>
        <w:t xml:space="preserve">ards - Compliance with labor standards on eligible construction sites have been </w:t>
      </w:r>
      <w:r>
        <w:rPr>
          <w:rFonts w:cs="Arial"/>
        </w:rPr>
        <w:lastRenderedPageBreak/>
        <w:t xml:space="preserve">monitored by City staff through on-site interviews and desk reviews of bid documents, payrolls and reports. </w:t>
      </w:r>
      <w:r>
        <w:rPr>
          <w:rFonts w:cs="Arial"/>
        </w:rPr>
        <w:br/>
        <w:t xml:space="preserve"> 6) MBE/WBE - Solicited bids and services from MBE /WBE); Supported</w:t>
      </w:r>
      <w:r>
        <w:rPr>
          <w:rFonts w:cs="Arial"/>
        </w:rPr>
        <w:t xml:space="preserve"> maintenance of MBE/WBE directory; Utilized regional certified local and regional W/M/DBEs; Reported W/M/DBE participation to federal funding agencies; Worked with the Purchasing Department to track W/M/DBE participation percentages; and Strengthened ties </w:t>
      </w:r>
      <w:r>
        <w:rPr>
          <w:rFonts w:cs="Arial"/>
        </w:rPr>
        <w:t>with the City’s economic development initiatives as needed.</w:t>
      </w:r>
    </w:p>
    <w:p w14:paraId="51C9F4B6" w14:textId="77777777" w:rsidR="00BB5584" w:rsidRDefault="00BB5584">
      <w:pPr>
        <w:widowControl w:val="0"/>
        <w:rPr>
          <w:rFonts w:cs="Arial"/>
        </w:rPr>
      </w:pPr>
    </w:p>
    <w:p w14:paraId="4BBDBD36" w14:textId="77777777" w:rsidR="00BB5584" w:rsidRDefault="00506586">
      <w:pPr>
        <w:widowControl w:val="0"/>
        <w:rPr>
          <w:b/>
          <w:sz w:val="24"/>
          <w:szCs w:val="24"/>
        </w:rPr>
      </w:pPr>
      <w:r>
        <w:rPr>
          <w:b/>
          <w:sz w:val="24"/>
          <w:szCs w:val="24"/>
        </w:rPr>
        <w:t>Citizen Participation Plan 91.105(d); 91.115(d)</w:t>
      </w:r>
    </w:p>
    <w:p w14:paraId="4910AB51" w14:textId="77777777" w:rsidR="00BB5584" w:rsidRDefault="00506586">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14:paraId="1F890F14" w14:textId="77777777" w:rsidR="00BB5584" w:rsidRDefault="00506586">
      <w:pPr>
        <w:spacing w:beforeAutospacing="1" w:afterAutospacing="1"/>
      </w:pPr>
      <w:r>
        <w:t>The draft Program Year 2020 Consolidated Annual Performance Evaluation Report (CAPER) was advertised as a public notice on November 14, 2021. It was published in the local newspaper. The report was available for viewing from November 17, 2021 to December 8</w:t>
      </w:r>
      <w:r>
        <w:t>, 2021 at the City of Tyler’s Neighborhood Services Department (NBS) between 8:00am and 5:00pm. Additionally, the draft Program Year 2019 CAPER was posted to the NBS’s website during the above time frames.</w:t>
      </w:r>
    </w:p>
    <w:p w14:paraId="68144522" w14:textId="77777777" w:rsidR="00BB5584" w:rsidRDefault="00506586">
      <w:pPr>
        <w:spacing w:beforeAutospacing="1" w:afterAutospacing="1"/>
      </w:pPr>
      <w:r>
        <w:br/>
        <w:t>Additionally, a public hearing was held at the re</w:t>
      </w:r>
      <w:r>
        <w:t xml:space="preserve">gularly scheduled City Council meeting on December 8, 2020. Notice for this hearing was published on November 14, 2020. </w:t>
      </w:r>
      <w:r>
        <w:br/>
        <w:t>No comments of any kind were received, either at the public hearing or in response to the publication.</w:t>
      </w:r>
    </w:p>
    <w:p w14:paraId="6CAD2581" w14:textId="77777777" w:rsidR="00BB5584" w:rsidRDefault="00506586">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14:paraId="4984C53E" w14:textId="77777777" w:rsidR="00BB5584" w:rsidRDefault="00506586">
      <w:pPr>
        <w:widowControl w:val="0"/>
        <w:rPr>
          <w:b/>
          <w:sz w:val="24"/>
          <w:szCs w:val="24"/>
        </w:rPr>
      </w:pPr>
      <w:r>
        <w:rPr>
          <w:b/>
          <w:sz w:val="24"/>
          <w:szCs w:val="24"/>
        </w:rPr>
        <w:t>Specify t</w:t>
      </w:r>
      <w:r>
        <w:rPr>
          <w:b/>
          <w:sz w:val="24"/>
          <w:szCs w:val="24"/>
        </w:rPr>
        <w:t>he nature of, and reasons for, any changes in the jurisdiction’s program objectives and indications of how the jurisdiction would change its programs as a result of its experiences.</w:t>
      </w:r>
    </w:p>
    <w:p w14:paraId="058FAD46" w14:textId="77777777" w:rsidR="00BB5584" w:rsidRDefault="00506586">
      <w:pPr>
        <w:widowControl w:val="0"/>
        <w:spacing w:beforeAutospacing="1" w:afterAutospacing="1"/>
        <w:rPr>
          <w:rFonts w:cs="Arial"/>
        </w:rPr>
      </w:pPr>
      <w:r>
        <w:rPr>
          <w:rFonts w:cs="Arial"/>
        </w:rPr>
        <w:t>There were no changes to the City of Tyler's CDBG objectives during Progra</w:t>
      </w:r>
      <w:r>
        <w:rPr>
          <w:rFonts w:cs="Arial"/>
        </w:rPr>
        <w:t>m Year 2020. </w:t>
      </w:r>
    </w:p>
    <w:p w14:paraId="73F7106C" w14:textId="77777777" w:rsidR="00BB5584" w:rsidRDefault="00506586">
      <w:pPr>
        <w:widowControl w:val="0"/>
        <w:rPr>
          <w:b/>
          <w:sz w:val="24"/>
          <w:szCs w:val="24"/>
        </w:rPr>
      </w:pPr>
      <w:r>
        <w:rPr>
          <w:b/>
          <w:sz w:val="24"/>
          <w:szCs w:val="24"/>
        </w:rPr>
        <w:t>Does this Jurisdiction have any open Brownfields Economic Development Initiative (BEDI) grants?</w:t>
      </w:r>
    </w:p>
    <w:p w14:paraId="683DEFB3" w14:textId="77777777" w:rsidR="00BB5584" w:rsidRDefault="00506586">
      <w:pPr>
        <w:widowControl w:val="0"/>
        <w:spacing w:beforeAutospacing="1" w:afterAutospacing="1"/>
        <w:rPr>
          <w:rFonts w:cs="Arial"/>
        </w:rPr>
      </w:pPr>
      <w:r>
        <w:rPr>
          <w:rFonts w:cs="Arial"/>
        </w:rPr>
        <w:t>No</w:t>
      </w:r>
    </w:p>
    <w:p w14:paraId="2B219898" w14:textId="77777777" w:rsidR="00BB5584" w:rsidRDefault="00506586">
      <w:pPr>
        <w:widowControl w:val="0"/>
        <w:rPr>
          <w:b/>
          <w:sz w:val="24"/>
          <w:szCs w:val="24"/>
        </w:rPr>
      </w:pPr>
      <w:r>
        <w:rPr>
          <w:b/>
          <w:sz w:val="24"/>
          <w:szCs w:val="24"/>
        </w:rPr>
        <w:t>[BEDI grantees]  Describe accomplishments and program outcomes during the last year.</w:t>
      </w:r>
    </w:p>
    <w:p w14:paraId="42E7CEA5" w14:textId="77777777" w:rsidR="00BB5584" w:rsidRDefault="00BB5584">
      <w:pPr>
        <w:widowControl w:val="0"/>
        <w:rPr>
          <w:rFonts w:cs="Arial"/>
        </w:rPr>
      </w:pPr>
    </w:p>
    <w:p w14:paraId="51EF5819" w14:textId="77777777" w:rsidR="00BB5584" w:rsidRDefault="00BB5584"/>
    <w:p w14:paraId="66138DD9" w14:textId="77777777" w:rsidR="00BB5584" w:rsidRDefault="00BB5584"/>
    <w:p w14:paraId="1735A4B6" w14:textId="77777777" w:rsidR="00BB5584" w:rsidRDefault="00506586">
      <w:pPr>
        <w:pStyle w:val="Heading2"/>
        <w:pageBreakBefore/>
        <w:widowControl w:val="0"/>
        <w:rPr>
          <w:rFonts w:ascii="Calibri" w:hAnsi="Calibri"/>
          <w:i w:val="0"/>
        </w:rPr>
      </w:pPr>
      <w:r>
        <w:rPr>
          <w:rFonts w:ascii="Calibri" w:hAnsi="Calibri"/>
          <w:i w:val="0"/>
        </w:rPr>
        <w:lastRenderedPageBreak/>
        <w:t>CR-50 - HOME 91.520(d)</w:t>
      </w:r>
    </w:p>
    <w:p w14:paraId="7FFC9CA6" w14:textId="77777777" w:rsidR="00BB5584" w:rsidRDefault="00506586">
      <w:pPr>
        <w:widowControl w:val="0"/>
        <w:rPr>
          <w:b/>
          <w:sz w:val="24"/>
          <w:szCs w:val="24"/>
        </w:rPr>
      </w:pPr>
      <w:r>
        <w:rPr>
          <w:b/>
          <w:sz w:val="24"/>
          <w:szCs w:val="24"/>
        </w:rPr>
        <w:t>Include the results of on-site i</w:t>
      </w:r>
      <w:r>
        <w:rPr>
          <w:b/>
          <w:sz w:val="24"/>
          <w:szCs w:val="24"/>
        </w:rPr>
        <w:t xml:space="preserve">nspections of affordable rental housing assisted under the program to determine compliance with housing codes and other applicable regulations </w:t>
      </w:r>
    </w:p>
    <w:p w14:paraId="191297E6" w14:textId="77777777" w:rsidR="00BB5584" w:rsidRDefault="00506586">
      <w:pPr>
        <w:widowControl w:val="0"/>
        <w:rPr>
          <w:sz w:val="24"/>
          <w:szCs w:val="24"/>
        </w:rPr>
      </w:pPr>
      <w:r>
        <w:rPr>
          <w:sz w:val="24"/>
          <w:szCs w:val="24"/>
        </w:rPr>
        <w:t xml:space="preserve">Please list those projects that should have been inspected on-site this program year based upon the schedule in </w:t>
      </w:r>
      <w:r>
        <w:rPr>
          <w:sz w:val="24"/>
          <w:szCs w:val="24"/>
        </w:rPr>
        <w:t>§92.504(d). Indicate which of these were inspected and a summary of issues that were detected during the inspection. For those that were not inspected, please indicate the reason and how you will remedy the situation.</w:t>
      </w:r>
    </w:p>
    <w:p w14:paraId="795A1550" w14:textId="77777777" w:rsidR="00BB5584" w:rsidRDefault="00506586">
      <w:pPr>
        <w:widowControl w:val="0"/>
        <w:spacing w:beforeAutospacing="1" w:afterAutospacing="1"/>
        <w:rPr>
          <w:rFonts w:cs="Arial"/>
        </w:rPr>
      </w:pPr>
      <w:r>
        <w:rPr>
          <w:rFonts w:cs="Arial"/>
        </w:rPr>
        <w:t>No HOME projects were completed in Pro</w:t>
      </w:r>
      <w:r>
        <w:rPr>
          <w:rFonts w:cs="Arial"/>
        </w:rPr>
        <w:t>gram Year 2020. Accordingly, no project completion inspections were conducted under 24 CFR 92.504(d)(1)(i).</w:t>
      </w:r>
      <w:r>
        <w:rPr>
          <w:rFonts w:cs="Arial"/>
        </w:rPr>
        <w:br/>
        <w:t>No HOME projects were completed in Program Year 2020. Accordingly, no initial on-site inspections were conducted within the first twelve months of p</w:t>
      </w:r>
      <w:r>
        <w:rPr>
          <w:rFonts w:cs="Arial"/>
        </w:rPr>
        <w:t>roject completion under 24 CFR 92.504(d)(1)(ii) were conducted in Program Year 2019.</w:t>
      </w:r>
    </w:p>
    <w:p w14:paraId="0FF09833" w14:textId="77777777" w:rsidR="00BB5584" w:rsidRDefault="00506586">
      <w:pPr>
        <w:widowControl w:val="0"/>
        <w:spacing w:beforeAutospacing="1" w:afterAutospacing="1"/>
        <w:rPr>
          <w:rFonts w:cs="Arial"/>
        </w:rPr>
      </w:pPr>
      <w:r>
        <w:rPr>
          <w:rFonts w:cs="Arial"/>
        </w:rPr>
        <w:br/>
        <w:t>Under 24 CFR 92.504(d)(1)(ii), on-site inspections are required every three years after the initial on-site inspection. On-site inspections for HOME assisted rental prope</w:t>
      </w:r>
      <w:r>
        <w:rPr>
          <w:rFonts w:cs="Arial"/>
        </w:rPr>
        <w:t>rties were conducted in Program Year 2019. Accordingly, no on-site inspections for HOME assisted rental properties were due in Program Year 2020.</w:t>
      </w:r>
    </w:p>
    <w:p w14:paraId="1C0B9301" w14:textId="77777777" w:rsidR="00BB5584" w:rsidRDefault="00506586">
      <w:pPr>
        <w:widowControl w:val="0"/>
        <w:rPr>
          <w:b/>
          <w:sz w:val="24"/>
          <w:szCs w:val="24"/>
        </w:rPr>
      </w:pPr>
      <w:r>
        <w:rPr>
          <w:b/>
          <w:sz w:val="24"/>
          <w:szCs w:val="24"/>
        </w:rPr>
        <w:t>Provide an assessment of the jurisdiction's affirmative marketing actions for HOME units. 92.351(b)</w:t>
      </w:r>
    </w:p>
    <w:p w14:paraId="031342DE" w14:textId="77777777" w:rsidR="00BB5584" w:rsidRDefault="00506586">
      <w:pPr>
        <w:widowControl w:val="0"/>
        <w:spacing w:beforeAutospacing="1" w:afterAutospacing="1"/>
        <w:rPr>
          <w:rFonts w:cs="Arial"/>
        </w:rPr>
      </w:pPr>
      <w:r>
        <w:rPr>
          <w:rFonts w:cs="Arial"/>
        </w:rPr>
        <w:t>The City i</w:t>
      </w:r>
      <w:r>
        <w:rPr>
          <w:rFonts w:cs="Arial"/>
        </w:rPr>
        <w:t xml:space="preserve">s committed to the goals of affirmative marketing. This includes, informing the public of fair housing laws and regulations, informing prospective tenants, landlords, and homebuyers of fair housing rules and regulations, and reaching out to newspapers and </w:t>
      </w:r>
      <w:r>
        <w:rPr>
          <w:rFonts w:cs="Arial"/>
        </w:rPr>
        <w:t xml:space="preserve">periodicals targeted towards minority groups. The City plans to continue these actions in the future. Further, the City intends to continue to reach out to minority and women owned businesses to invite them to submit bids and proposals when the City seeks </w:t>
      </w:r>
      <w:r>
        <w:rPr>
          <w:rFonts w:cs="Arial"/>
        </w:rPr>
        <w:t>contractors.</w:t>
      </w:r>
    </w:p>
    <w:p w14:paraId="14F8E64A" w14:textId="77777777" w:rsidR="00BB5584" w:rsidRDefault="00506586">
      <w:pPr>
        <w:widowControl w:val="0"/>
        <w:rPr>
          <w:b/>
          <w:sz w:val="24"/>
          <w:szCs w:val="24"/>
        </w:rPr>
      </w:pPr>
      <w:r>
        <w:rPr>
          <w:b/>
          <w:sz w:val="24"/>
          <w:szCs w:val="24"/>
        </w:rPr>
        <w:t>Refer to IDIS reports to describe the amount and use of program income for projects, including the number of projects and owner and tenant characteristics</w:t>
      </w:r>
    </w:p>
    <w:p w14:paraId="2BA75BBC" w14:textId="77777777" w:rsidR="00BB5584" w:rsidRDefault="00506586">
      <w:pPr>
        <w:widowControl w:val="0"/>
        <w:spacing w:beforeAutospacing="1" w:afterAutospacing="1"/>
        <w:rPr>
          <w:rFonts w:cs="Arial"/>
        </w:rPr>
      </w:pPr>
      <w:r>
        <w:rPr>
          <w:rFonts w:cs="Arial"/>
        </w:rPr>
        <w:t>During Program Year 2020, the City of Tyler did not receive but funded and spent HOME pr</w:t>
      </w:r>
      <w:r>
        <w:rPr>
          <w:rFonts w:cs="Arial"/>
        </w:rPr>
        <w:t>ogram income for 2016. The City of Tyler is currently working on a project which is utilizing all of the HOME program income currently on hand. This project should began this year.</w:t>
      </w:r>
    </w:p>
    <w:p w14:paraId="4E770447" w14:textId="77777777" w:rsidR="00BB5584" w:rsidRDefault="00506586">
      <w:pPr>
        <w:widowControl w:val="0"/>
        <w:rPr>
          <w:b/>
          <w:sz w:val="24"/>
          <w:szCs w:val="24"/>
        </w:rPr>
      </w:pPr>
      <w:r>
        <w:rPr>
          <w:b/>
          <w:sz w:val="24"/>
          <w:szCs w:val="24"/>
        </w:rPr>
        <w:t>Describe other actions taken to foster and maintain affordable housing.  91</w:t>
      </w:r>
      <w:r>
        <w:rPr>
          <w:b/>
          <w:sz w:val="24"/>
          <w:szCs w:val="24"/>
        </w:rPr>
        <w:t>.220(k) (STATES ONLY: Including the coordination of LIHTC with the development of affordable housing).  91.320(j)</w:t>
      </w:r>
    </w:p>
    <w:p w14:paraId="46EBEE7C" w14:textId="77777777" w:rsidR="00BB5584" w:rsidRDefault="00506586">
      <w:pPr>
        <w:widowControl w:val="0"/>
        <w:spacing w:beforeAutospacing="1" w:afterAutospacing="1"/>
        <w:rPr>
          <w:rFonts w:cs="Arial"/>
        </w:rPr>
      </w:pPr>
      <w:r>
        <w:rPr>
          <w:rFonts w:cs="Arial"/>
        </w:rPr>
        <w:lastRenderedPageBreak/>
        <w:t>The City of Tyler primarily uses its HOME funds to develop and maintain homebuyer housing, not rental housing. However, the City of Tyler part</w:t>
      </w:r>
      <w:r>
        <w:rPr>
          <w:rFonts w:cs="Arial"/>
        </w:rPr>
        <w:t>icipates in the Housing Choice Voucher (HCV) Program which provides rental assistance to low income families making rental housing more affordable. The City of Tyler is exploring ways to assist the HCV Program landlords with maintaining their rental housin</w:t>
      </w:r>
      <w:r>
        <w:rPr>
          <w:rFonts w:cs="Arial"/>
        </w:rPr>
        <w:t>g.</w:t>
      </w:r>
    </w:p>
    <w:p w14:paraId="6428EAF4" w14:textId="77777777" w:rsidR="00BB5584" w:rsidRDefault="00BB5584">
      <w:pPr>
        <w:widowControl w:val="0"/>
        <w:rPr>
          <w:rFonts w:cs="Arial"/>
          <w:szCs w:val="26"/>
        </w:rPr>
      </w:pPr>
    </w:p>
    <w:p w14:paraId="10CA7FAA" w14:textId="77777777" w:rsidR="00BB5584" w:rsidRDefault="00BB5584"/>
    <w:p w14:paraId="43905B40" w14:textId="77777777" w:rsidR="00BB5584" w:rsidRDefault="00BB5584"/>
    <w:sectPr w:rsidR="00BB558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B7CD" w14:textId="77777777" w:rsidR="00BB5584" w:rsidRDefault="00506586">
      <w:r>
        <w:separator/>
      </w:r>
    </w:p>
  </w:endnote>
  <w:endnote w:type="continuationSeparator" w:id="0">
    <w:p w14:paraId="418C71E5" w14:textId="77777777" w:rsidR="00BB5584" w:rsidRDefault="0050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BB5584" w14:paraId="2BAD8294" w14:textId="77777777">
      <w:trPr>
        <w:jc w:val="center"/>
      </w:trPr>
      <w:tc>
        <w:tcPr>
          <w:tcW w:w="828" w:type="dxa"/>
        </w:tcPr>
        <w:p w14:paraId="714FDC0F" w14:textId="77777777" w:rsidR="00BB5584" w:rsidRDefault="00BB5584">
          <w:pPr>
            <w:pStyle w:val="Footer"/>
            <w:spacing w:after="0" w:line="240" w:lineRule="auto"/>
            <w:jc w:val="center"/>
          </w:pPr>
        </w:p>
      </w:tc>
      <w:tc>
        <w:tcPr>
          <w:tcW w:w="7976" w:type="dxa"/>
        </w:tcPr>
        <w:p w14:paraId="1FBA1AB8" w14:textId="77777777" w:rsidR="00BB5584" w:rsidRDefault="00506586">
          <w:pPr>
            <w:pStyle w:val="Footer"/>
            <w:spacing w:after="0" w:line="240" w:lineRule="auto"/>
            <w:jc w:val="center"/>
          </w:pPr>
          <w:r>
            <w:t>CAPER</w:t>
          </w:r>
        </w:p>
      </w:tc>
      <w:tc>
        <w:tcPr>
          <w:tcW w:w="772" w:type="dxa"/>
        </w:tcPr>
        <w:p w14:paraId="419FD4A5" w14:textId="77777777" w:rsidR="00BB5584" w:rsidRDefault="00506586">
          <w:pPr>
            <w:pStyle w:val="Footer"/>
            <w:spacing w:after="0" w:line="240" w:lineRule="auto"/>
            <w:jc w:val="right"/>
          </w:pPr>
          <w:r>
            <w:fldChar w:fldCharType="begin"/>
          </w:r>
          <w:r>
            <w:instrText>page</w:instrText>
          </w:r>
          <w:r>
            <w:fldChar w:fldCharType="separate"/>
          </w:r>
          <w:r>
            <w:t>15</w:t>
          </w:r>
          <w:r>
            <w:fldChar w:fldCharType="end"/>
          </w:r>
        </w:p>
      </w:tc>
    </w:tr>
  </w:tbl>
  <w:p w14:paraId="3A7729EE" w14:textId="77777777" w:rsidR="00BB5584" w:rsidRDefault="00506586">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6C76" w14:textId="77777777" w:rsidR="00BB5584" w:rsidRDefault="00506586">
      <w:r>
        <w:separator/>
      </w:r>
    </w:p>
  </w:footnote>
  <w:footnote w:type="continuationSeparator" w:id="0">
    <w:p w14:paraId="3CF3BA94" w14:textId="77777777" w:rsidR="00BB5584" w:rsidRDefault="00506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6586"/>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6760"/>
    <w:rsid w:val="00796975"/>
    <w:rsid w:val="007972CE"/>
    <w:rsid w:val="007974CF"/>
    <w:rsid w:val="007A05ED"/>
    <w:rsid w:val="007A15DB"/>
    <w:rsid w:val="007A1CE2"/>
    <w:rsid w:val="007A45CE"/>
    <w:rsid w:val="007A55B0"/>
    <w:rsid w:val="007A65AE"/>
    <w:rsid w:val="007A678D"/>
    <w:rsid w:val="007A6A94"/>
    <w:rsid w:val="007A6C54"/>
    <w:rsid w:val="007A6E48"/>
    <w:rsid w:val="007A705F"/>
    <w:rsid w:val="007A78FE"/>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584"/>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C62A4"/>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95C00533-219F-4B93-A018-2126A965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4997</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Parker Harrison</cp:lastModifiedBy>
  <cp:revision>2</cp:revision>
  <dcterms:created xsi:type="dcterms:W3CDTF">2021-11-17T18:27:00Z</dcterms:created>
  <dcterms:modified xsi:type="dcterms:W3CDTF">2021-11-17T18:27:00Z</dcterms:modified>
</cp:coreProperties>
</file>